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985C" w14:textId="2257718C" w:rsidR="009E008C" w:rsidRDefault="009E008C" w:rsidP="009E008C">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1217FFC7" wp14:editId="42E6910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E3ABB"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DBC265F" wp14:editId="381AAA6C">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4EE26C44" w14:textId="77777777" w:rsidR="009E008C" w:rsidRDefault="009E008C" w:rsidP="009E008C">
                            <w:pPr>
                              <w:jc w:val="center"/>
                              <w:rPr>
                                <w:rFonts w:ascii="CG Omega" w:hAnsi="CG Omega"/>
                                <w:sz w:val="16"/>
                              </w:rPr>
                            </w:pPr>
                            <w:r>
                              <w:rPr>
                                <w:rFonts w:ascii="CG Omega" w:hAnsi="CG Omega"/>
                                <w:sz w:val="16"/>
                              </w:rPr>
                              <w:object w:dxaOrig="2553" w:dyaOrig="2438" w14:anchorId="5A60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122.4pt">
                                  <v:imagedata r:id="rId8" o:title=""/>
                                </v:shape>
                                <o:OLEObject Type="Embed" ProgID="Word.Picture.8" ShapeID="_x0000_i1026" DrawAspect="Content" ObjectID="_1766234317" r:id="rId9"/>
                              </w:object>
                            </w:r>
                          </w:p>
                          <w:p w14:paraId="5F605EBE" w14:textId="77777777" w:rsidR="009E008C" w:rsidRDefault="009E008C" w:rsidP="009E008C">
                            <w:pPr>
                              <w:rPr>
                                <w:rFonts w:ascii="Tahoma" w:hAnsi="Tahoma" w:cs="Tahoma"/>
                                <w:b/>
                                <w:sz w:val="16"/>
                              </w:rPr>
                            </w:pPr>
                          </w:p>
                          <w:p w14:paraId="0F1F8A66" w14:textId="77777777" w:rsidR="009E008C" w:rsidRDefault="009E008C" w:rsidP="009E008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265F"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4EE26C44" w14:textId="77777777" w:rsidR="009E008C" w:rsidRDefault="009E008C" w:rsidP="009E008C">
                      <w:pPr>
                        <w:jc w:val="center"/>
                        <w:rPr>
                          <w:rFonts w:ascii="CG Omega" w:hAnsi="CG Omega"/>
                          <w:sz w:val="16"/>
                        </w:rPr>
                      </w:pPr>
                      <w:r>
                        <w:rPr>
                          <w:rFonts w:ascii="CG Omega" w:hAnsi="CG Omega"/>
                          <w:sz w:val="16"/>
                        </w:rPr>
                        <w:object w:dxaOrig="2553" w:dyaOrig="2438" w14:anchorId="5A60CE97">
                          <v:shape id="_x0000_i1026" type="#_x0000_t75" style="width:127.5pt;height:122.25pt" o:ole="">
                            <v:imagedata r:id="rId10" o:title=""/>
                          </v:shape>
                          <o:OLEObject Type="Embed" ProgID="Word.Picture.8" ShapeID="_x0000_i1026" DrawAspect="Content" ObjectID="_1766233996" r:id="rId11"/>
                        </w:object>
                      </w:r>
                    </w:p>
                    <w:p w14:paraId="5F605EBE" w14:textId="77777777" w:rsidR="009E008C" w:rsidRDefault="009E008C" w:rsidP="009E008C">
                      <w:pPr>
                        <w:rPr>
                          <w:rFonts w:ascii="Tahoma" w:hAnsi="Tahoma" w:cs="Tahoma"/>
                          <w:b/>
                          <w:sz w:val="16"/>
                        </w:rPr>
                      </w:pPr>
                    </w:p>
                    <w:p w14:paraId="0F1F8A66" w14:textId="77777777" w:rsidR="009E008C" w:rsidRDefault="009E008C" w:rsidP="009E008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618E360" wp14:editId="2D477414">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565CF" w14:textId="77777777" w:rsidR="009E008C" w:rsidRDefault="009E008C" w:rsidP="009E008C">
                            <w:pPr>
                              <w:jc w:val="center"/>
                              <w:rPr>
                                <w:rFonts w:ascii="Century" w:hAnsi="Century"/>
                              </w:rPr>
                            </w:pPr>
                          </w:p>
                          <w:p w14:paraId="361F8F5D" w14:textId="14506ED1" w:rsidR="009E008C" w:rsidRDefault="009E008C" w:rsidP="009E008C">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sidR="00553A55">
                              <w:rPr>
                                <w:rFonts w:ascii="Tahoma" w:hAnsi="Tahoma" w:cs="Tahoma"/>
                                <w:b/>
                                <w:sz w:val="60"/>
                                <w:szCs w:val="60"/>
                              </w:rPr>
                              <w:t>HUNUCMÁ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E360"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3C0565CF" w14:textId="77777777" w:rsidR="009E008C" w:rsidRDefault="009E008C" w:rsidP="009E008C">
                      <w:pPr>
                        <w:jc w:val="center"/>
                        <w:rPr>
                          <w:rFonts w:ascii="Century" w:hAnsi="Century"/>
                        </w:rPr>
                      </w:pPr>
                    </w:p>
                    <w:p w14:paraId="361F8F5D" w14:textId="14506ED1" w:rsidR="009E008C" w:rsidRDefault="009E008C" w:rsidP="009E008C">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sidR="00553A55">
                        <w:rPr>
                          <w:rFonts w:ascii="Tahoma" w:hAnsi="Tahoma" w:cs="Tahoma"/>
                          <w:b/>
                          <w:sz w:val="60"/>
                          <w:szCs w:val="60"/>
                        </w:rPr>
                        <w:t>HUNUCMÁ</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33D7C40D" wp14:editId="47BE6E7C">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04DB5" w14:textId="77777777" w:rsidR="009E008C" w:rsidRDefault="009E008C" w:rsidP="009E008C">
                            <w:pPr>
                              <w:jc w:val="center"/>
                              <w:rPr>
                                <w:b/>
                              </w:rPr>
                            </w:pPr>
                          </w:p>
                          <w:p w14:paraId="1FE209F9" w14:textId="77777777" w:rsidR="009E008C" w:rsidRDefault="009E008C" w:rsidP="009E008C">
                            <w:pPr>
                              <w:jc w:val="center"/>
                              <w:rPr>
                                <w:rFonts w:ascii="Century" w:hAnsi="Century"/>
                                <w:b/>
                                <w:sz w:val="30"/>
                                <w:szCs w:val="30"/>
                              </w:rPr>
                            </w:pPr>
                            <w:r>
                              <w:rPr>
                                <w:rFonts w:ascii="Century" w:hAnsi="Century"/>
                                <w:b/>
                                <w:sz w:val="30"/>
                                <w:szCs w:val="30"/>
                              </w:rPr>
                              <w:t xml:space="preserve">SECRETARÍA GENERAL DEL </w:t>
                            </w:r>
                          </w:p>
                          <w:p w14:paraId="3DA55A9E" w14:textId="77777777" w:rsidR="009E008C" w:rsidRDefault="009E008C" w:rsidP="009E008C">
                            <w:pPr>
                              <w:jc w:val="center"/>
                              <w:rPr>
                                <w:rFonts w:ascii="Century" w:hAnsi="Century"/>
                                <w:b/>
                                <w:sz w:val="30"/>
                                <w:szCs w:val="30"/>
                              </w:rPr>
                            </w:pPr>
                            <w:r>
                              <w:rPr>
                                <w:rFonts w:ascii="Century" w:hAnsi="Century"/>
                                <w:b/>
                                <w:sz w:val="30"/>
                                <w:szCs w:val="30"/>
                              </w:rPr>
                              <w:t>PODER LEGISLATIVO</w:t>
                            </w:r>
                          </w:p>
                          <w:p w14:paraId="0B922BFB" w14:textId="77777777" w:rsidR="009E008C" w:rsidRDefault="009E008C" w:rsidP="009E008C">
                            <w:pPr>
                              <w:jc w:val="center"/>
                              <w:rPr>
                                <w:rFonts w:ascii="Century" w:hAnsi="Century"/>
                                <w:b/>
                                <w:sz w:val="26"/>
                                <w:szCs w:val="26"/>
                              </w:rPr>
                            </w:pPr>
                          </w:p>
                          <w:p w14:paraId="01ADE1BA" w14:textId="77777777" w:rsidR="009E008C" w:rsidRDefault="009E008C" w:rsidP="009E008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C40D"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6AF04DB5" w14:textId="77777777" w:rsidR="009E008C" w:rsidRDefault="009E008C" w:rsidP="009E008C">
                      <w:pPr>
                        <w:jc w:val="center"/>
                        <w:rPr>
                          <w:b/>
                        </w:rPr>
                      </w:pPr>
                    </w:p>
                    <w:p w14:paraId="1FE209F9" w14:textId="77777777" w:rsidR="009E008C" w:rsidRDefault="009E008C" w:rsidP="009E008C">
                      <w:pPr>
                        <w:jc w:val="center"/>
                        <w:rPr>
                          <w:rFonts w:ascii="Century" w:hAnsi="Century"/>
                          <w:b/>
                          <w:sz w:val="30"/>
                          <w:szCs w:val="30"/>
                        </w:rPr>
                      </w:pPr>
                      <w:r>
                        <w:rPr>
                          <w:rFonts w:ascii="Century" w:hAnsi="Century"/>
                          <w:b/>
                          <w:sz w:val="30"/>
                          <w:szCs w:val="30"/>
                        </w:rPr>
                        <w:t xml:space="preserve">SECRETARÍA GENERAL DEL </w:t>
                      </w:r>
                    </w:p>
                    <w:p w14:paraId="3DA55A9E" w14:textId="77777777" w:rsidR="009E008C" w:rsidRDefault="009E008C" w:rsidP="009E008C">
                      <w:pPr>
                        <w:jc w:val="center"/>
                        <w:rPr>
                          <w:rFonts w:ascii="Century" w:hAnsi="Century"/>
                          <w:b/>
                          <w:sz w:val="30"/>
                          <w:szCs w:val="30"/>
                        </w:rPr>
                      </w:pPr>
                      <w:r>
                        <w:rPr>
                          <w:rFonts w:ascii="Century" w:hAnsi="Century"/>
                          <w:b/>
                          <w:sz w:val="30"/>
                          <w:szCs w:val="30"/>
                        </w:rPr>
                        <w:t>PODER LEGISLATIVO</w:t>
                      </w:r>
                    </w:p>
                    <w:p w14:paraId="0B922BFB" w14:textId="77777777" w:rsidR="009E008C" w:rsidRDefault="009E008C" w:rsidP="009E008C">
                      <w:pPr>
                        <w:jc w:val="center"/>
                        <w:rPr>
                          <w:rFonts w:ascii="Century" w:hAnsi="Century"/>
                          <w:b/>
                          <w:sz w:val="26"/>
                          <w:szCs w:val="26"/>
                        </w:rPr>
                      </w:pPr>
                    </w:p>
                    <w:p w14:paraId="01ADE1BA" w14:textId="77777777" w:rsidR="009E008C" w:rsidRDefault="009E008C" w:rsidP="009E008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88E908" wp14:editId="295DCD56">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38DE8" w14:textId="5B53B91E" w:rsidR="009E008C" w:rsidRPr="00204C8C" w:rsidRDefault="009E008C" w:rsidP="009E008C">
                            <w:pPr>
                              <w:jc w:val="center"/>
                              <w:rPr>
                                <w:rFonts w:ascii="Century Gothic" w:hAnsi="Century Gothic"/>
                                <w:b/>
                                <w:sz w:val="22"/>
                                <w:szCs w:val="22"/>
                              </w:rPr>
                            </w:pPr>
                            <w:r>
                              <w:rPr>
                                <w:rFonts w:ascii="Century Gothic" w:hAnsi="Century Gothic"/>
                                <w:b/>
                                <w:sz w:val="22"/>
                                <w:szCs w:val="22"/>
                              </w:rPr>
                              <w:t xml:space="preserve">Nueva </w:t>
                            </w:r>
                            <w:proofErr w:type="spellStart"/>
                            <w:r>
                              <w:rPr>
                                <w:rFonts w:ascii="Century Gothic" w:hAnsi="Century Gothic"/>
                                <w:b/>
                                <w:sz w:val="22"/>
                                <w:szCs w:val="22"/>
                              </w:rPr>
                              <w:t>publicación</w:t>
                            </w:r>
                            <w:proofErr w:type="spellEnd"/>
                            <w:r w:rsidRPr="00204C8C">
                              <w:rPr>
                                <w:rFonts w:ascii="Century Gothic" w:hAnsi="Century Gothic"/>
                                <w:b/>
                                <w:sz w:val="22"/>
                                <w:szCs w:val="22"/>
                              </w:rPr>
                              <w:t xml:space="preserve">: D.O.  </w:t>
                            </w:r>
                            <w:r>
                              <w:rPr>
                                <w:rFonts w:ascii="Century Gothic" w:hAnsi="Century Gothic"/>
                                <w:b/>
                                <w:sz w:val="22"/>
                                <w:szCs w:val="22"/>
                              </w:rPr>
                              <w:t>29</w:t>
                            </w:r>
                            <w:r w:rsidRPr="00204C8C">
                              <w:rPr>
                                <w:rFonts w:ascii="Century Gothic" w:hAnsi="Century Gothic"/>
                                <w:b/>
                                <w:sz w:val="22"/>
                                <w:szCs w:val="22"/>
                              </w:rPr>
                              <w:t>-diciembre-20</w:t>
                            </w:r>
                            <w:r>
                              <w:rPr>
                                <w:rFonts w:ascii="Century Gothic" w:hAnsi="Century Gothic"/>
                                <w:b/>
                                <w:sz w:val="22"/>
                                <w:szCs w:val="2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E908"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0E438DE8" w14:textId="5B53B91E" w:rsidR="009E008C" w:rsidRPr="00204C8C" w:rsidRDefault="009E008C" w:rsidP="009E008C">
                      <w:pPr>
                        <w:jc w:val="center"/>
                        <w:rPr>
                          <w:rFonts w:ascii="Century Gothic" w:hAnsi="Century Gothic"/>
                          <w:b/>
                          <w:sz w:val="22"/>
                          <w:szCs w:val="22"/>
                        </w:rPr>
                      </w:pPr>
                      <w:r>
                        <w:rPr>
                          <w:rFonts w:ascii="Century Gothic" w:hAnsi="Century Gothic"/>
                          <w:b/>
                          <w:sz w:val="22"/>
                          <w:szCs w:val="22"/>
                        </w:rPr>
                        <w:t>Nueva publicación</w:t>
                      </w:r>
                      <w:r w:rsidRPr="00204C8C">
                        <w:rPr>
                          <w:rFonts w:ascii="Century Gothic" w:hAnsi="Century Gothic"/>
                          <w:b/>
                          <w:sz w:val="22"/>
                          <w:szCs w:val="22"/>
                        </w:rPr>
                        <w:t xml:space="preserve">: D.O.  </w:t>
                      </w:r>
                      <w:r>
                        <w:rPr>
                          <w:rFonts w:ascii="Century Gothic" w:hAnsi="Century Gothic"/>
                          <w:b/>
                          <w:sz w:val="22"/>
                          <w:szCs w:val="22"/>
                        </w:rPr>
                        <w:t>29</w:t>
                      </w:r>
                      <w:r w:rsidRPr="00204C8C">
                        <w:rPr>
                          <w:rFonts w:ascii="Century Gothic" w:hAnsi="Century Gothic"/>
                          <w:b/>
                          <w:sz w:val="22"/>
                          <w:szCs w:val="22"/>
                        </w:rPr>
                        <w:t>-diciembre-20</w:t>
                      </w:r>
                      <w:r>
                        <w:rPr>
                          <w:rFonts w:ascii="Century Gothic" w:hAnsi="Century Gothic"/>
                          <w:b/>
                          <w:sz w:val="22"/>
                          <w:szCs w:val="22"/>
                        </w:rPr>
                        <w:t>23</w:t>
                      </w:r>
                    </w:p>
                  </w:txbxContent>
                </v:textbox>
              </v:shape>
            </w:pict>
          </mc:Fallback>
        </mc:AlternateContent>
      </w:r>
    </w:p>
    <w:p w14:paraId="0B9CDF16" w14:textId="77777777" w:rsidR="009E008C" w:rsidRDefault="009E008C" w:rsidP="009E008C">
      <w:pPr>
        <w:spacing w:line="360" w:lineRule="auto"/>
        <w:rPr>
          <w:rFonts w:ascii="Tahoma" w:hAnsi="Tahoma" w:cs="Tahoma"/>
          <w:b/>
          <w:bCs/>
          <w:sz w:val="28"/>
          <w:szCs w:val="28"/>
        </w:rPr>
        <w:sectPr w:rsidR="009E008C">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14:paraId="422B3A75" w14:textId="1762D649" w:rsidR="009E008C" w:rsidRDefault="000B4633" w:rsidP="009E008C">
      <w:pPr>
        <w:tabs>
          <w:tab w:val="right" w:pos="8498"/>
        </w:tabs>
        <w:jc w:val="both"/>
        <w:rPr>
          <w:rFonts w:ascii="Arial" w:hAnsi="Arial"/>
          <w:b/>
          <w:lang w:val="es-ES" w:eastAsia="es-ES"/>
        </w:rPr>
      </w:pPr>
      <w:r w:rsidRPr="000B4633">
        <w:rPr>
          <w:rFonts w:ascii="Arial" w:hAnsi="Arial"/>
          <w:b/>
          <w:lang w:val="es-ES" w:eastAsia="es-ES"/>
        </w:rPr>
        <w:lastRenderedPageBreak/>
        <w:t>Decreto 711/2023 por el que se expiden las Leyes de Hacienda de los  Municipios de Conkal, Hunucmá, Ixil, Kanasín y Tixpéual, todas del Estado de  Yucatán</w:t>
      </w:r>
    </w:p>
    <w:p w14:paraId="45C36DD5" w14:textId="77777777" w:rsidR="000B4633" w:rsidRDefault="000B4633" w:rsidP="009E008C">
      <w:pPr>
        <w:tabs>
          <w:tab w:val="right" w:pos="8498"/>
        </w:tabs>
        <w:jc w:val="both"/>
        <w:rPr>
          <w:rFonts w:ascii="Arial" w:hAnsi="Arial"/>
          <w:b/>
          <w:lang w:val="es-ES" w:eastAsia="es-ES"/>
        </w:rPr>
      </w:pPr>
    </w:p>
    <w:p w14:paraId="4EA22739" w14:textId="24393822" w:rsidR="009E008C" w:rsidRPr="009E008C" w:rsidRDefault="009E008C" w:rsidP="009E008C">
      <w:pPr>
        <w:tabs>
          <w:tab w:val="right" w:pos="8498"/>
        </w:tabs>
        <w:jc w:val="both"/>
        <w:rPr>
          <w:rFonts w:ascii="Arial" w:hAnsi="Arial"/>
          <w:lang w:val="es-ES" w:eastAsia="es-ES"/>
        </w:rPr>
      </w:pPr>
      <w:r w:rsidRPr="009E008C">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BD1A81E" w14:textId="77777777" w:rsidR="009E008C" w:rsidRPr="009E008C" w:rsidRDefault="009E008C" w:rsidP="009E008C">
      <w:pPr>
        <w:tabs>
          <w:tab w:val="right" w:pos="8498"/>
        </w:tabs>
        <w:jc w:val="both"/>
        <w:rPr>
          <w:rFonts w:ascii="Arial" w:hAnsi="Arial"/>
          <w:b/>
          <w:lang w:val="es-ES" w:eastAsia="es-ES"/>
        </w:rPr>
      </w:pPr>
    </w:p>
    <w:p w14:paraId="710DD2F1" w14:textId="0FABC8D3" w:rsidR="009E008C" w:rsidRPr="009E008C" w:rsidRDefault="009E008C" w:rsidP="009E008C">
      <w:pPr>
        <w:tabs>
          <w:tab w:val="right" w:pos="8498"/>
        </w:tabs>
        <w:jc w:val="both"/>
        <w:rPr>
          <w:rFonts w:ascii="Arial" w:hAnsi="Arial"/>
          <w:b/>
          <w:lang w:val="es-ES" w:eastAsia="es-ES"/>
        </w:rPr>
      </w:pPr>
      <w:r w:rsidRPr="009E008C">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3A62626F" w14:textId="77777777" w:rsidR="009E008C" w:rsidRPr="009E008C" w:rsidRDefault="009E008C" w:rsidP="009E008C">
      <w:pPr>
        <w:spacing w:line="360" w:lineRule="auto"/>
        <w:ind w:firstLine="708"/>
        <w:jc w:val="both"/>
        <w:rPr>
          <w:rFonts w:ascii="Arial" w:hAnsi="Arial" w:cs="Arial"/>
          <w:lang w:val="es-MX" w:eastAsia="es-ES"/>
        </w:rPr>
      </w:pPr>
    </w:p>
    <w:p w14:paraId="6B6711F7" w14:textId="77777777" w:rsidR="009E008C" w:rsidRPr="009E008C" w:rsidRDefault="009E008C" w:rsidP="009E008C">
      <w:pPr>
        <w:tabs>
          <w:tab w:val="left" w:pos="8222"/>
        </w:tabs>
        <w:suppressAutoHyphens/>
        <w:spacing w:line="360" w:lineRule="auto"/>
        <w:jc w:val="center"/>
        <w:rPr>
          <w:rFonts w:ascii="Arial" w:hAnsi="Arial" w:cs="Arial"/>
          <w:b/>
          <w:lang w:val="es-MX" w:eastAsia="ar-SA"/>
        </w:rPr>
      </w:pPr>
      <w:r w:rsidRPr="009E008C">
        <w:rPr>
          <w:rFonts w:ascii="Arial" w:hAnsi="Arial" w:cs="Arial"/>
          <w:b/>
          <w:lang w:val="es-MX" w:eastAsia="ar-SA"/>
        </w:rPr>
        <w:t>E X P O S I C I Ó N    D E    M O T I V O S</w:t>
      </w:r>
    </w:p>
    <w:p w14:paraId="6C29222B" w14:textId="77777777" w:rsidR="009E008C" w:rsidRPr="009E008C" w:rsidRDefault="009E008C" w:rsidP="009E008C">
      <w:pPr>
        <w:spacing w:line="360" w:lineRule="auto"/>
        <w:ind w:firstLine="708"/>
        <w:jc w:val="both"/>
        <w:rPr>
          <w:rFonts w:ascii="Arial" w:hAnsi="Arial" w:cs="Arial"/>
          <w:b/>
          <w:iCs/>
          <w:lang w:val="es-MX" w:eastAsia="es-ES"/>
        </w:rPr>
      </w:pPr>
    </w:p>
    <w:p w14:paraId="0110CC21"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iCs/>
          <w:lang w:val="es-MX" w:eastAsia="es-ES"/>
        </w:rPr>
        <w:t xml:space="preserve">PRIMERA. </w:t>
      </w:r>
      <w:r w:rsidRPr="009E008C">
        <w:rPr>
          <w:rFonts w:ascii="Arial" w:hAnsi="Arial" w:cs="Arial"/>
          <w:iCs/>
          <w:lang w:val="es-MX" w:eastAsia="es-ES"/>
        </w:rPr>
        <w:t>De la revisión y análisis de las iniciativas presentadas por las autoridades municipales antes mencionadas, los integrantes de esta Comisión Permanente, consideramos que los ayuntamientos señalados</w:t>
      </w:r>
      <w:r w:rsidRPr="009E008C">
        <w:rPr>
          <w:rFonts w:ascii="Arial" w:hAnsi="Arial" w:cs="Arial"/>
          <w:lang w:val="es-MX" w:eastAsia="es-ES"/>
        </w:rPr>
        <w:t xml:space="preserve">, </w:t>
      </w:r>
      <w:r w:rsidRPr="009E008C">
        <w:rPr>
          <w:rFonts w:ascii="Arial" w:hAnsi="Arial" w:cs="Arial"/>
          <w:iCs/>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7C73AEE1" w14:textId="77777777" w:rsidR="009E008C" w:rsidRPr="009E008C" w:rsidRDefault="009E008C" w:rsidP="009E008C">
      <w:pPr>
        <w:spacing w:line="360" w:lineRule="auto"/>
        <w:ind w:firstLine="708"/>
        <w:jc w:val="both"/>
        <w:rPr>
          <w:rFonts w:ascii="Arial" w:hAnsi="Arial" w:cs="Arial"/>
          <w:iCs/>
          <w:lang w:val="es-MX" w:eastAsia="es-ES"/>
        </w:rPr>
      </w:pPr>
    </w:p>
    <w:p w14:paraId="7D08E3F9" w14:textId="77777777" w:rsidR="009E008C" w:rsidRPr="009E008C" w:rsidRDefault="009E008C" w:rsidP="009E008C">
      <w:pPr>
        <w:spacing w:line="360" w:lineRule="auto"/>
        <w:ind w:firstLine="708"/>
        <w:jc w:val="both"/>
        <w:rPr>
          <w:rFonts w:ascii="Arial" w:hAnsi="Arial" w:cs="Arial"/>
          <w:iCs/>
          <w:lang w:val="es-MX" w:eastAsia="es-ES"/>
        </w:rPr>
      </w:pPr>
      <w:r w:rsidRPr="009E008C">
        <w:rPr>
          <w:rFonts w:ascii="Arial" w:hAnsi="Arial" w:cs="Arial"/>
          <w:iCs/>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008C">
            <w:rPr>
              <w:rFonts w:ascii="Arial" w:hAnsi="Arial" w:cs="Arial"/>
              <w:iCs/>
              <w:lang w:val="es-MX" w:eastAsia="es-ES"/>
            </w:rPr>
            <w:t>la Constitución</w:t>
          </w:r>
        </w:smartTag>
        <w:r w:rsidRPr="009E008C">
          <w:rPr>
            <w:rFonts w:ascii="Arial" w:hAnsi="Arial" w:cs="Arial"/>
            <w:iCs/>
            <w:lang w:val="es-MX" w:eastAsia="es-ES"/>
          </w:rPr>
          <w:t xml:space="preserve"> Política</w:t>
        </w:r>
      </w:smartTag>
      <w:r w:rsidRPr="009E008C">
        <w:rPr>
          <w:rFonts w:ascii="Arial" w:hAnsi="Arial" w:cs="Arial"/>
          <w:iCs/>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591EC4F6" w14:textId="77777777" w:rsidR="009E008C" w:rsidRPr="009E008C" w:rsidRDefault="009E008C" w:rsidP="009E008C">
      <w:pPr>
        <w:spacing w:line="360" w:lineRule="auto"/>
        <w:ind w:firstLine="708"/>
        <w:jc w:val="both"/>
        <w:rPr>
          <w:rFonts w:ascii="Arial" w:hAnsi="Arial" w:cs="Arial"/>
          <w:iCs/>
          <w:lang w:val="es-MX" w:eastAsia="es-ES"/>
        </w:rPr>
      </w:pPr>
    </w:p>
    <w:p w14:paraId="0C76F4CD"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4A9A115F" w14:textId="77777777" w:rsidR="009E008C" w:rsidRPr="009E008C" w:rsidRDefault="009E008C" w:rsidP="009E008C">
      <w:pPr>
        <w:spacing w:line="360" w:lineRule="auto"/>
        <w:ind w:firstLine="708"/>
        <w:jc w:val="both"/>
        <w:rPr>
          <w:rFonts w:ascii="Arial" w:hAnsi="Arial" w:cs="Arial"/>
          <w:lang w:val="es-MX" w:eastAsia="es-ES"/>
        </w:rPr>
      </w:pPr>
    </w:p>
    <w:p w14:paraId="13994C7F"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lastRenderedPageBreak/>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7B185596" w14:textId="77777777" w:rsidR="009E008C" w:rsidRPr="009E008C" w:rsidRDefault="009E008C" w:rsidP="009E008C">
      <w:pPr>
        <w:spacing w:line="360" w:lineRule="auto"/>
        <w:jc w:val="both"/>
        <w:rPr>
          <w:rFonts w:ascii="Arial" w:hAnsi="Arial" w:cs="Arial"/>
          <w:lang w:val="es-MX" w:eastAsia="es-ES"/>
        </w:rPr>
      </w:pPr>
    </w:p>
    <w:p w14:paraId="6F98573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256152C" w14:textId="77777777" w:rsidR="009E008C" w:rsidRPr="009E008C" w:rsidRDefault="009E008C" w:rsidP="009E008C">
      <w:pPr>
        <w:spacing w:line="360" w:lineRule="auto"/>
        <w:ind w:firstLine="708"/>
        <w:jc w:val="both"/>
        <w:rPr>
          <w:rFonts w:ascii="Arial" w:hAnsi="Arial" w:cs="Arial"/>
          <w:lang w:val="es-MX" w:eastAsia="es-ES"/>
        </w:rPr>
      </w:pPr>
    </w:p>
    <w:p w14:paraId="7B77042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1FE693AD" w14:textId="77777777" w:rsidR="009E008C" w:rsidRPr="009E008C" w:rsidRDefault="009E008C" w:rsidP="009E008C">
      <w:pPr>
        <w:spacing w:line="360" w:lineRule="auto"/>
        <w:jc w:val="both"/>
        <w:rPr>
          <w:rFonts w:ascii="Arial" w:hAnsi="Arial" w:cs="Arial"/>
          <w:lang w:val="es-MX" w:eastAsia="es-ES"/>
        </w:rPr>
      </w:pPr>
    </w:p>
    <w:p w14:paraId="6BBC091F"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En ese orden, las legislaturas de los Estados aprueban las leyes de ingresos de los municipios y los recursos que integran sus haciendas municipales son ejercidos en forma directa por los ayuntamientos.</w:t>
      </w:r>
    </w:p>
    <w:p w14:paraId="27B6C9B9" w14:textId="77777777" w:rsidR="009E008C" w:rsidRPr="009E008C" w:rsidRDefault="009E008C" w:rsidP="009E008C">
      <w:pPr>
        <w:spacing w:line="360" w:lineRule="auto"/>
        <w:jc w:val="both"/>
        <w:rPr>
          <w:rFonts w:ascii="Arial" w:hAnsi="Arial" w:cs="Arial"/>
          <w:lang w:val="es-MX" w:eastAsia="es-ES"/>
        </w:rPr>
      </w:pPr>
    </w:p>
    <w:p w14:paraId="2A65819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13287CD5" w14:textId="77777777" w:rsidR="009E008C" w:rsidRPr="009E008C" w:rsidRDefault="009E008C" w:rsidP="009E008C">
      <w:pPr>
        <w:spacing w:line="360" w:lineRule="auto"/>
        <w:jc w:val="both"/>
        <w:rPr>
          <w:rFonts w:ascii="Arial" w:hAnsi="Arial" w:cs="Arial"/>
          <w:lang w:val="es-MX" w:eastAsia="es-ES"/>
        </w:rPr>
      </w:pPr>
    </w:p>
    <w:p w14:paraId="1349B31A"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 xml:space="preserve">De este modo, el diseño tributario municipal conlleva un amplio margen de configuración, de forma tal que el hecho de que en un momento determinado se decida la eliminación o la incorporación </w:t>
      </w:r>
      <w:r w:rsidRPr="009E008C">
        <w:rPr>
          <w:rFonts w:ascii="Arial" w:hAnsi="Arial" w:cs="Arial"/>
          <w:lang w:val="es-MX" w:eastAsia="es-ES"/>
        </w:rPr>
        <w:lastRenderedPageBreak/>
        <w:t>de nuevos regímenes fiscales o contribuciones, no implica, en sí mismo, la inconstitucionalidad de la norma de que se trate, siempre que ésta no contravenga algún dispositivo constitucional.</w:t>
      </w:r>
    </w:p>
    <w:p w14:paraId="0D689702" w14:textId="77777777" w:rsidR="009E008C" w:rsidRPr="009E008C" w:rsidRDefault="009E008C" w:rsidP="009E008C">
      <w:pPr>
        <w:spacing w:line="360" w:lineRule="auto"/>
        <w:jc w:val="both"/>
        <w:rPr>
          <w:rFonts w:ascii="Arial" w:hAnsi="Arial" w:cs="Arial"/>
          <w:lang w:val="es-MX" w:eastAsia="es-ES"/>
        </w:rPr>
      </w:pPr>
    </w:p>
    <w:p w14:paraId="0075E1CD"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4564202F" w14:textId="77777777" w:rsidR="009E008C" w:rsidRPr="009E008C" w:rsidRDefault="009E008C" w:rsidP="009E008C">
      <w:pPr>
        <w:spacing w:line="360" w:lineRule="auto"/>
        <w:ind w:firstLine="426"/>
        <w:jc w:val="both"/>
        <w:rPr>
          <w:rFonts w:ascii="Arial" w:hAnsi="Arial" w:cs="Arial"/>
          <w:iCs/>
          <w:lang w:val="es-MX" w:eastAsia="es-ES"/>
        </w:rPr>
      </w:pPr>
    </w:p>
    <w:p w14:paraId="2D337315"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iCs/>
          <w:lang w:val="es-MX" w:eastAsia="es-ES"/>
        </w:rPr>
        <w:t xml:space="preserve">SEGUNDA. </w:t>
      </w:r>
      <w:r w:rsidRPr="009E008C">
        <w:rPr>
          <w:rFonts w:ascii="Arial" w:hAnsi="Arial" w:cs="Arial"/>
          <w:iCs/>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29D2C0ED" w14:textId="77777777" w:rsidR="009E008C" w:rsidRPr="009E008C" w:rsidRDefault="009E008C" w:rsidP="009E008C">
      <w:pPr>
        <w:spacing w:line="360" w:lineRule="auto"/>
        <w:ind w:firstLine="709"/>
        <w:jc w:val="both"/>
        <w:rPr>
          <w:rFonts w:ascii="Arial" w:hAnsi="Arial" w:cs="Arial"/>
          <w:lang w:val="es-MX" w:eastAsia="es-ES"/>
        </w:rPr>
      </w:pPr>
    </w:p>
    <w:p w14:paraId="154004D7"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008C">
            <w:rPr>
              <w:rFonts w:ascii="Arial" w:hAnsi="Arial" w:cs="Arial"/>
              <w:lang w:val="es-MX" w:eastAsia="es-ES"/>
            </w:rPr>
            <w:t>la Constitución</w:t>
          </w:r>
        </w:smartTag>
        <w:r w:rsidRPr="009E008C">
          <w:rPr>
            <w:rFonts w:ascii="Arial" w:hAnsi="Arial" w:cs="Arial"/>
            <w:lang w:val="es-MX" w:eastAsia="es-ES"/>
          </w:rPr>
          <w:t xml:space="preserve"> Política</w:t>
        </w:r>
      </w:smartTag>
      <w:r w:rsidRPr="009E008C">
        <w:rPr>
          <w:rFonts w:ascii="Arial" w:hAnsi="Arial" w:cs="Arial"/>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54065D2F" w14:textId="77777777" w:rsidR="009E008C" w:rsidRPr="009E008C" w:rsidRDefault="009E008C" w:rsidP="009E008C">
      <w:pPr>
        <w:spacing w:line="360" w:lineRule="auto"/>
        <w:ind w:firstLine="709"/>
        <w:jc w:val="both"/>
        <w:rPr>
          <w:rFonts w:ascii="Arial" w:hAnsi="Arial" w:cs="Arial"/>
          <w:lang w:val="es-MX" w:eastAsia="es-ES"/>
        </w:rPr>
      </w:pPr>
    </w:p>
    <w:p w14:paraId="1331ACF1"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73C45D5C" w14:textId="77777777" w:rsidR="009E008C" w:rsidRPr="009E008C" w:rsidRDefault="009E008C" w:rsidP="009E008C">
      <w:pPr>
        <w:spacing w:line="360" w:lineRule="auto"/>
        <w:ind w:firstLine="709"/>
        <w:jc w:val="both"/>
        <w:rPr>
          <w:rFonts w:ascii="Arial" w:hAnsi="Arial" w:cs="Arial"/>
          <w:lang w:val="es-MX" w:eastAsia="es-ES"/>
        </w:rPr>
      </w:pPr>
    </w:p>
    <w:p w14:paraId="4F3E7B05"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2B025E89" w14:textId="77777777" w:rsidR="009E008C" w:rsidRPr="009E008C" w:rsidRDefault="009E008C" w:rsidP="009E008C">
      <w:pPr>
        <w:spacing w:line="360" w:lineRule="auto"/>
        <w:ind w:firstLine="709"/>
        <w:jc w:val="both"/>
        <w:rPr>
          <w:rFonts w:ascii="Arial" w:hAnsi="Arial" w:cs="Arial"/>
          <w:lang w:val="es-MX" w:eastAsia="es-ES"/>
        </w:rPr>
      </w:pPr>
    </w:p>
    <w:p w14:paraId="14F180F1"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0FEC68DB" w14:textId="77777777" w:rsidR="009E008C" w:rsidRPr="009E008C" w:rsidRDefault="009E008C" w:rsidP="009E008C">
      <w:pPr>
        <w:spacing w:line="360" w:lineRule="auto"/>
        <w:ind w:firstLine="709"/>
        <w:jc w:val="both"/>
        <w:rPr>
          <w:rFonts w:ascii="Arial" w:hAnsi="Arial" w:cs="Arial"/>
          <w:lang w:val="es-MX" w:eastAsia="es-ES"/>
        </w:rPr>
      </w:pPr>
    </w:p>
    <w:p w14:paraId="7B7F6216"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60E2DF99" w14:textId="77777777" w:rsidR="009E008C" w:rsidRPr="009E008C" w:rsidRDefault="009E008C" w:rsidP="009E008C">
      <w:pPr>
        <w:spacing w:line="360" w:lineRule="auto"/>
        <w:ind w:firstLine="709"/>
        <w:jc w:val="both"/>
        <w:rPr>
          <w:rFonts w:ascii="Arial" w:hAnsi="Arial" w:cs="Arial"/>
          <w:lang w:val="es-MX" w:eastAsia="es-ES"/>
        </w:rPr>
      </w:pPr>
    </w:p>
    <w:p w14:paraId="7AA8E94A"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 xml:space="preserve">TERCERA. </w:t>
      </w:r>
      <w:r w:rsidRPr="009E008C">
        <w:rPr>
          <w:rFonts w:ascii="Arial" w:hAnsi="Arial" w:cs="Arial"/>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3D0AADA0" w14:textId="77777777" w:rsidR="009E008C" w:rsidRPr="009E008C" w:rsidRDefault="009E008C" w:rsidP="009E008C">
      <w:pPr>
        <w:spacing w:line="360" w:lineRule="auto"/>
        <w:ind w:firstLine="709"/>
        <w:jc w:val="both"/>
        <w:rPr>
          <w:rFonts w:ascii="Arial" w:hAnsi="Arial" w:cs="Arial"/>
          <w:lang w:val="es-MX" w:eastAsia="es-ES"/>
        </w:rPr>
      </w:pPr>
    </w:p>
    <w:p w14:paraId="5DB3A2C6"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De tal forma, podemos concluir como comisión dictaminadora que el contenido de las Leyes de Hacienda de los Municipios </w:t>
      </w:r>
      <w:r w:rsidRPr="009E008C">
        <w:rPr>
          <w:rFonts w:ascii="Arial" w:hAnsi="Arial" w:cs="Arial"/>
          <w:bCs/>
          <w:lang w:val="es-MX" w:eastAsia="es-ES"/>
        </w:rPr>
        <w:t>de Conkal, Hunucmá, Ixil, Kanasín y Tixpéual</w:t>
      </w:r>
      <w:r w:rsidRPr="009E008C">
        <w:rPr>
          <w:lang w:val="es-MX" w:eastAsia="es-ES"/>
        </w:rPr>
        <w:t>,</w:t>
      </w:r>
      <w:r w:rsidRPr="009E008C">
        <w:rPr>
          <w:rFonts w:ascii="Arial" w:hAnsi="Arial" w:cs="Arial"/>
          <w:lang w:val="es-MX" w:eastAsia="es-ES"/>
        </w:rPr>
        <w:t xml:space="preserve"> cumplen con lo siguiente:</w:t>
      </w:r>
    </w:p>
    <w:p w14:paraId="4F7862FD" w14:textId="77777777" w:rsidR="009E008C" w:rsidRPr="009E008C" w:rsidRDefault="009E008C" w:rsidP="009E008C">
      <w:pPr>
        <w:spacing w:line="360" w:lineRule="auto"/>
        <w:ind w:firstLine="709"/>
        <w:jc w:val="both"/>
        <w:rPr>
          <w:rFonts w:ascii="Arial" w:hAnsi="Arial" w:cs="Arial"/>
          <w:lang w:val="es-MX" w:eastAsia="es-ES"/>
        </w:rPr>
      </w:pPr>
    </w:p>
    <w:p w14:paraId="587A74AD" w14:textId="77777777" w:rsidR="009E008C" w:rsidRPr="009E008C" w:rsidRDefault="009E008C" w:rsidP="00553A55">
      <w:pPr>
        <w:numPr>
          <w:ilvl w:val="0"/>
          <w:numId w:val="2"/>
        </w:numPr>
        <w:spacing w:line="360" w:lineRule="auto"/>
        <w:ind w:left="709"/>
        <w:jc w:val="both"/>
        <w:rPr>
          <w:rFonts w:ascii="Arial" w:hAnsi="Arial" w:cs="Arial"/>
          <w:lang w:val="es-MX" w:eastAsia="es-ES"/>
        </w:rPr>
      </w:pPr>
      <w:r w:rsidRPr="009E008C">
        <w:rPr>
          <w:rFonts w:ascii="Arial" w:hAnsi="Arial" w:cs="Arial"/>
          <w:lang w:val="es-MX" w:eastAsia="es-ES"/>
        </w:rPr>
        <w:t>Contemplan los elementos del tributo de cada uno de los conceptos de los ingresos del Municipio, de conformidad con la normatividad fiscal aplicable.</w:t>
      </w:r>
    </w:p>
    <w:p w14:paraId="6CDAF8D9" w14:textId="77777777" w:rsidR="009E008C" w:rsidRPr="009E008C" w:rsidRDefault="009E008C" w:rsidP="00553A55">
      <w:pPr>
        <w:numPr>
          <w:ilvl w:val="0"/>
          <w:numId w:val="2"/>
        </w:numPr>
        <w:spacing w:line="360" w:lineRule="auto"/>
        <w:ind w:left="709"/>
        <w:jc w:val="both"/>
        <w:rPr>
          <w:rFonts w:ascii="Arial" w:hAnsi="Arial" w:cs="Arial"/>
          <w:lang w:val="es-MX" w:eastAsia="es-ES"/>
        </w:rPr>
      </w:pPr>
      <w:r w:rsidRPr="009E008C">
        <w:rPr>
          <w:rFonts w:ascii="Arial" w:hAnsi="Arial" w:cs="Arial"/>
          <w:lang w:val="es-MX" w:eastAsia="es-ES"/>
        </w:rPr>
        <w:t>Regulan las relaciones entre autoridad y ciudadano, resultantes de la facultad recaudadora de aquella; así como la normatividad que se observará para el caso de que se incumpla con la obligación contributiva ciudadana.</w:t>
      </w:r>
    </w:p>
    <w:p w14:paraId="27897B2B" w14:textId="77777777" w:rsidR="009E008C" w:rsidRPr="009E008C" w:rsidRDefault="009E008C" w:rsidP="00553A55">
      <w:pPr>
        <w:numPr>
          <w:ilvl w:val="0"/>
          <w:numId w:val="2"/>
        </w:numPr>
        <w:spacing w:line="360" w:lineRule="auto"/>
        <w:ind w:left="709"/>
        <w:jc w:val="both"/>
        <w:rPr>
          <w:rFonts w:ascii="Arial" w:hAnsi="Arial" w:cs="Arial"/>
          <w:lang w:val="es-MX" w:eastAsia="es-ES"/>
        </w:rPr>
      </w:pPr>
      <w:r w:rsidRPr="009E008C">
        <w:rPr>
          <w:rFonts w:ascii="Arial" w:hAnsi="Arial" w:cs="Arial"/>
          <w:lang w:val="es-MX" w:eastAsia="es-ES"/>
        </w:rPr>
        <w:t xml:space="preserve"> Prevén los recursos legales y los procedimientos administrativos, para que el ciudadano inconforme pueda combatir actos del Ayuntamiento que pueda presumirse en materia fiscal, como excesivos y/o ilegales. </w:t>
      </w:r>
    </w:p>
    <w:p w14:paraId="6046EE78" w14:textId="77777777" w:rsidR="009E008C" w:rsidRPr="009E008C" w:rsidRDefault="009E008C" w:rsidP="009E008C">
      <w:pPr>
        <w:spacing w:line="360" w:lineRule="auto"/>
        <w:ind w:firstLine="600"/>
        <w:jc w:val="both"/>
        <w:rPr>
          <w:rFonts w:ascii="Arial" w:hAnsi="Arial" w:cs="Arial"/>
          <w:lang w:val="es-MX" w:eastAsia="es-ES"/>
        </w:rPr>
      </w:pPr>
    </w:p>
    <w:p w14:paraId="1C37673C" w14:textId="77777777" w:rsidR="009E008C" w:rsidRPr="009E008C" w:rsidRDefault="009E008C" w:rsidP="009E008C">
      <w:pPr>
        <w:spacing w:line="360" w:lineRule="auto"/>
        <w:ind w:firstLine="709"/>
        <w:jc w:val="both"/>
        <w:rPr>
          <w:rFonts w:ascii="Arial" w:hAnsi="Arial" w:cs="Arial"/>
          <w:bCs/>
          <w:lang w:val="es-MX" w:eastAsia="es-ES"/>
        </w:rPr>
      </w:pPr>
      <w:r w:rsidRPr="009E008C">
        <w:rPr>
          <w:rFonts w:ascii="Arial" w:hAnsi="Arial" w:cs="Arial"/>
          <w:bCs/>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14802305" w14:textId="77777777" w:rsidR="009E008C" w:rsidRPr="009E008C" w:rsidRDefault="009E008C" w:rsidP="009E008C">
      <w:pPr>
        <w:spacing w:line="360" w:lineRule="auto"/>
        <w:ind w:firstLine="709"/>
        <w:jc w:val="both"/>
        <w:rPr>
          <w:rFonts w:ascii="Arial" w:hAnsi="Arial" w:cs="Arial"/>
          <w:bCs/>
          <w:lang w:val="es-MX" w:eastAsia="es-ES"/>
        </w:rPr>
      </w:pPr>
    </w:p>
    <w:p w14:paraId="12CC2F77" w14:textId="77777777" w:rsidR="009E008C" w:rsidRPr="009E008C" w:rsidRDefault="009E008C" w:rsidP="00553A55">
      <w:pPr>
        <w:numPr>
          <w:ilvl w:val="0"/>
          <w:numId w:val="4"/>
        </w:numPr>
        <w:spacing w:line="360" w:lineRule="auto"/>
        <w:jc w:val="both"/>
        <w:rPr>
          <w:rFonts w:ascii="Arial" w:hAnsi="Arial" w:cs="Arial"/>
          <w:bCs/>
          <w:lang w:val="es-MX" w:eastAsia="es-ES"/>
        </w:rPr>
      </w:pPr>
      <w:r w:rsidRPr="009E008C">
        <w:rPr>
          <w:rFonts w:ascii="Arial" w:hAnsi="Arial" w:cs="Arial"/>
          <w:bCs/>
          <w:lang w:val="es-MX" w:eastAsia="es-ES"/>
        </w:rPr>
        <w:lastRenderedPageBreak/>
        <w:t xml:space="preserve">Las Disposiciones Generales, entre las que se encuentran el objeto de la ley. </w:t>
      </w:r>
    </w:p>
    <w:p w14:paraId="3E45A7FF"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Las Disposiciones Fiscales Municipales, las disposiciones de aplicación supletoria, recursos, garantías, las autoridades fiscales, las características de los ingresos y su clasificación.</w:t>
      </w:r>
    </w:p>
    <w:p w14:paraId="114AAB38"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Los aspectos relativos a los créditos fiscales, los sujetos obligados, la época de pago, recargos y multas.</w:t>
      </w:r>
    </w:p>
    <w:p w14:paraId="7897450E"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 xml:space="preserve"> Los derechos y obligaciones de los contribuyentes.</w:t>
      </w:r>
    </w:p>
    <w:p w14:paraId="5E410F63"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Los impuestos, entre los que destacan el del Impuesto Predial y el Impuesto Sobre Adquisición de Inmuebles, así como el Impuesto Sobre Espectáculos y Diversiones.</w:t>
      </w:r>
    </w:p>
    <w:p w14:paraId="00F838FD"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4DAEE43A"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Las Contribuciones de mejora.</w:t>
      </w:r>
    </w:p>
    <w:p w14:paraId="49766641"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Los Productos y Aprovechamientos.</w:t>
      </w:r>
    </w:p>
    <w:p w14:paraId="5E3DA11B"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Las Participaciones y Aportaciones.</w:t>
      </w:r>
    </w:p>
    <w:p w14:paraId="7D5A6C4F"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El Procedimiento Administrativo de Ejecución aplicable, en su caso.</w:t>
      </w:r>
    </w:p>
    <w:p w14:paraId="10FA1B4C"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Las multas e infracciones, en su caso.</w:t>
      </w:r>
    </w:p>
    <w:p w14:paraId="65F5EB2E"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Los ingresos extraordinarios, cuando así se ha considerado por su proponente.</w:t>
      </w:r>
    </w:p>
    <w:p w14:paraId="264C22DF"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lang w:val="es-MX" w:eastAsia="es-ES"/>
        </w:rPr>
        <w:t>Y las demás disposiciones de carácter general, como los artículos transitorios y los recursos administrativos procedentes.</w:t>
      </w:r>
    </w:p>
    <w:p w14:paraId="51E292B6" w14:textId="77777777" w:rsidR="009E008C" w:rsidRPr="009E008C" w:rsidRDefault="009E008C" w:rsidP="009E008C">
      <w:pPr>
        <w:spacing w:line="360" w:lineRule="auto"/>
        <w:ind w:left="283"/>
        <w:jc w:val="both"/>
        <w:rPr>
          <w:rFonts w:ascii="Arial" w:hAnsi="Arial" w:cs="Arial"/>
          <w:bCs/>
          <w:lang w:val="es-MX" w:eastAsia="es-ES"/>
        </w:rPr>
      </w:pPr>
    </w:p>
    <w:p w14:paraId="7C2337D1" w14:textId="77777777" w:rsidR="009E008C" w:rsidRPr="009E008C" w:rsidRDefault="009E008C" w:rsidP="009E008C">
      <w:pPr>
        <w:spacing w:line="360" w:lineRule="auto"/>
        <w:ind w:left="283"/>
        <w:jc w:val="both"/>
        <w:rPr>
          <w:rFonts w:ascii="Arial" w:hAnsi="Arial" w:cs="Arial"/>
          <w:lang w:val="es-MX" w:eastAsia="es-ES"/>
        </w:rPr>
      </w:pPr>
      <w:r w:rsidRPr="009E008C">
        <w:rPr>
          <w:rFonts w:ascii="Arial" w:hAnsi="Arial" w:cs="Arial"/>
          <w:b/>
          <w:lang w:val="es-MX" w:eastAsia="es-ES"/>
        </w:rPr>
        <w:t xml:space="preserve">CUARTA. </w:t>
      </w:r>
      <w:r w:rsidRPr="009E008C">
        <w:rPr>
          <w:rFonts w:ascii="Arial" w:hAnsi="Arial" w:cs="Arial"/>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6E2135BF" w14:textId="77777777" w:rsidR="009E008C" w:rsidRPr="009E008C" w:rsidRDefault="009E008C" w:rsidP="009E008C">
      <w:pPr>
        <w:spacing w:line="360" w:lineRule="auto"/>
        <w:ind w:left="283"/>
        <w:jc w:val="both"/>
        <w:rPr>
          <w:rFonts w:ascii="Arial" w:hAnsi="Arial" w:cs="Arial"/>
          <w:lang w:val="es-MX" w:eastAsia="es-ES"/>
        </w:rPr>
      </w:pPr>
    </w:p>
    <w:p w14:paraId="0B17E517"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2EBC4AD8" w14:textId="77777777" w:rsidR="009E008C" w:rsidRPr="009E008C" w:rsidRDefault="009E008C" w:rsidP="009E008C">
      <w:pPr>
        <w:spacing w:line="360" w:lineRule="auto"/>
        <w:ind w:left="283" w:firstLine="709"/>
        <w:jc w:val="both"/>
        <w:rPr>
          <w:rFonts w:ascii="Arial" w:hAnsi="Arial" w:cs="Arial"/>
          <w:lang w:val="es-MX" w:eastAsia="es-ES"/>
        </w:rPr>
      </w:pPr>
    </w:p>
    <w:p w14:paraId="08900FBF"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19B8CC9C" w14:textId="77777777" w:rsidR="009E008C" w:rsidRPr="009E008C" w:rsidRDefault="009E008C" w:rsidP="009E008C">
      <w:pPr>
        <w:spacing w:line="360" w:lineRule="auto"/>
        <w:ind w:left="283" w:firstLine="709"/>
        <w:jc w:val="both"/>
        <w:rPr>
          <w:rFonts w:ascii="Arial" w:hAnsi="Arial" w:cs="Arial"/>
          <w:lang w:val="es-MX" w:eastAsia="es-ES"/>
        </w:rPr>
      </w:pPr>
    </w:p>
    <w:p w14:paraId="618E3551"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lastRenderedPageBreak/>
        <w:t>En esa evolución, de acuerdo al máximo tribunal del país, se pueden identificar tres momentos determinantes en la evolución del Municipio libre, partiendo de la importante consagración constitucional que, en 1917 se dio de esta figura:</w:t>
      </w:r>
    </w:p>
    <w:p w14:paraId="27A04A8E" w14:textId="77777777" w:rsidR="009E008C" w:rsidRPr="009E008C" w:rsidRDefault="009E008C" w:rsidP="009E008C">
      <w:pPr>
        <w:spacing w:line="360" w:lineRule="auto"/>
        <w:ind w:left="283" w:firstLine="709"/>
        <w:jc w:val="both"/>
        <w:rPr>
          <w:rFonts w:ascii="Arial" w:hAnsi="Arial" w:cs="Arial"/>
          <w:lang w:val="es-MX" w:eastAsia="es-ES"/>
        </w:rPr>
      </w:pPr>
    </w:p>
    <w:p w14:paraId="4B58F32A"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2E757A56" w14:textId="77777777" w:rsidR="009E008C" w:rsidRPr="009E008C" w:rsidRDefault="009E008C" w:rsidP="009E008C">
      <w:pPr>
        <w:spacing w:line="360" w:lineRule="auto"/>
        <w:ind w:left="283" w:firstLine="709"/>
        <w:jc w:val="both"/>
        <w:rPr>
          <w:rFonts w:ascii="Arial" w:hAnsi="Arial" w:cs="Arial"/>
          <w:lang w:val="es-MX" w:eastAsia="es-ES"/>
        </w:rPr>
      </w:pPr>
    </w:p>
    <w:p w14:paraId="6BE2F42E"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7CBE78BA" w14:textId="77777777" w:rsidR="009E008C" w:rsidRPr="009E008C" w:rsidRDefault="009E008C" w:rsidP="009E008C">
      <w:pPr>
        <w:spacing w:line="360" w:lineRule="auto"/>
        <w:ind w:left="283" w:firstLine="709"/>
        <w:jc w:val="both"/>
        <w:rPr>
          <w:rFonts w:ascii="Arial" w:hAnsi="Arial" w:cs="Arial"/>
          <w:lang w:val="es-MX" w:eastAsia="es-ES"/>
        </w:rPr>
      </w:pPr>
    </w:p>
    <w:p w14:paraId="322A66B1"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1FB2562A"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b) Porque a partir de los fallos que ha venido emitiendo esta Suprema Corte en dichos juicios, que evitan injerencias o interferencias de los estados, a la vida administrativa, política o jurídica de los municipios.</w:t>
      </w:r>
    </w:p>
    <w:p w14:paraId="17A05623"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7D153E20" w14:textId="77777777" w:rsidR="009E008C" w:rsidRPr="009E008C" w:rsidRDefault="009E008C" w:rsidP="009E008C">
      <w:pPr>
        <w:spacing w:line="360" w:lineRule="auto"/>
        <w:ind w:left="283" w:firstLine="709"/>
        <w:jc w:val="both"/>
        <w:rPr>
          <w:rFonts w:ascii="Arial" w:hAnsi="Arial" w:cs="Arial"/>
          <w:lang w:val="es-MX" w:eastAsia="es-ES"/>
        </w:rPr>
      </w:pPr>
    </w:p>
    <w:p w14:paraId="32FD416B"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38C38003" w14:textId="77777777" w:rsidR="009E008C" w:rsidRPr="009E008C" w:rsidRDefault="009E008C" w:rsidP="009E008C">
      <w:pPr>
        <w:spacing w:line="360" w:lineRule="auto"/>
        <w:ind w:left="283" w:firstLine="709"/>
        <w:jc w:val="both"/>
        <w:rPr>
          <w:rFonts w:ascii="Arial" w:hAnsi="Arial" w:cs="Arial"/>
          <w:lang w:val="es-MX" w:eastAsia="es-ES"/>
        </w:rPr>
      </w:pPr>
    </w:p>
    <w:p w14:paraId="3F12BA46"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4C80D856" w14:textId="77777777" w:rsidR="009E008C" w:rsidRPr="009E008C" w:rsidRDefault="009E008C" w:rsidP="009E008C">
      <w:pPr>
        <w:spacing w:line="360" w:lineRule="auto"/>
        <w:ind w:left="283" w:firstLine="709"/>
        <w:jc w:val="both"/>
        <w:rPr>
          <w:rFonts w:ascii="Arial" w:hAnsi="Arial" w:cs="Arial"/>
          <w:lang w:val="es-MX" w:eastAsia="es-ES"/>
        </w:rPr>
      </w:pPr>
    </w:p>
    <w:p w14:paraId="05F82AF8"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1C9529C3" w14:textId="77777777" w:rsidR="009E008C" w:rsidRPr="009E008C" w:rsidRDefault="009E008C" w:rsidP="009E008C">
      <w:pPr>
        <w:spacing w:line="360" w:lineRule="auto"/>
        <w:ind w:left="283" w:firstLine="709"/>
        <w:jc w:val="both"/>
        <w:rPr>
          <w:rFonts w:ascii="Arial" w:hAnsi="Arial" w:cs="Arial"/>
          <w:lang w:val="es-MX" w:eastAsia="es-ES"/>
        </w:rPr>
      </w:pPr>
    </w:p>
    <w:p w14:paraId="216FE420"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5C8F61A3" w14:textId="77777777" w:rsidR="009E008C" w:rsidRPr="009E008C" w:rsidRDefault="009E008C" w:rsidP="009E008C">
      <w:pPr>
        <w:spacing w:line="360" w:lineRule="auto"/>
        <w:ind w:left="283" w:firstLine="709"/>
        <w:jc w:val="both"/>
        <w:rPr>
          <w:rFonts w:ascii="Arial" w:hAnsi="Arial" w:cs="Arial"/>
          <w:lang w:val="es-MX" w:eastAsia="es-ES"/>
        </w:rPr>
      </w:pPr>
    </w:p>
    <w:p w14:paraId="03A18508"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66793D13" w14:textId="77777777" w:rsidR="009E008C" w:rsidRPr="009E008C" w:rsidRDefault="009E008C" w:rsidP="009E008C">
      <w:pPr>
        <w:spacing w:line="360" w:lineRule="auto"/>
        <w:ind w:left="283" w:firstLine="709"/>
        <w:jc w:val="both"/>
        <w:rPr>
          <w:rFonts w:ascii="Arial" w:hAnsi="Arial" w:cs="Arial"/>
          <w:lang w:val="es-MX" w:eastAsia="es-ES"/>
        </w:rPr>
      </w:pPr>
    </w:p>
    <w:p w14:paraId="5428F272"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1)</w:t>
      </w:r>
      <w:r w:rsidRPr="009E008C">
        <w:rPr>
          <w:rFonts w:ascii="Arial" w:hAnsi="Arial" w:cs="Arial"/>
          <w:lang w:val="es-MX" w:eastAsia="es-ES"/>
        </w:rPr>
        <w:tab/>
        <w:t>El principio de libre disposición de la hacienda municipal, consagrado en la fracción IV del artículo 115 constitucional;</w:t>
      </w:r>
    </w:p>
    <w:p w14:paraId="41E9D282"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2)</w:t>
      </w:r>
      <w:r w:rsidRPr="009E008C">
        <w:rPr>
          <w:rFonts w:ascii="Arial" w:hAnsi="Arial" w:cs="Arial"/>
          <w:lang w:val="es-MX" w:eastAsia="es-ES"/>
        </w:rPr>
        <w:tab/>
        <w:t>Que la Constitución estatuye que los ayuntamientos elaborarán sus propios presupuestos de egresos (fracción IV, artículo 115 constitucional);</w:t>
      </w:r>
    </w:p>
    <w:p w14:paraId="423DAFED" w14:textId="77777777" w:rsidR="009E008C" w:rsidRPr="009E008C" w:rsidRDefault="009E008C" w:rsidP="009E008C">
      <w:pPr>
        <w:spacing w:line="360" w:lineRule="auto"/>
        <w:ind w:left="283" w:firstLine="709"/>
        <w:jc w:val="both"/>
        <w:rPr>
          <w:rFonts w:ascii="Arial" w:hAnsi="Arial" w:cs="Arial"/>
          <w:lang w:val="es-MX" w:eastAsia="es-ES"/>
        </w:rPr>
      </w:pPr>
    </w:p>
    <w:p w14:paraId="5392E3C0"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45380F9F" w14:textId="77777777" w:rsidR="009E008C" w:rsidRPr="009E008C" w:rsidRDefault="009E008C" w:rsidP="009E008C">
      <w:pPr>
        <w:spacing w:line="360" w:lineRule="auto"/>
        <w:ind w:left="283" w:firstLine="709"/>
        <w:jc w:val="both"/>
        <w:rPr>
          <w:rFonts w:ascii="Arial" w:hAnsi="Arial" w:cs="Arial"/>
          <w:lang w:val="es-MX" w:eastAsia="es-ES"/>
        </w:rPr>
      </w:pPr>
    </w:p>
    <w:p w14:paraId="12BC1C8F"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lastRenderedPageBreak/>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5A04C9A" w14:textId="77777777" w:rsidR="009E008C" w:rsidRPr="009E008C" w:rsidRDefault="009E008C" w:rsidP="009E008C">
      <w:pPr>
        <w:spacing w:line="360" w:lineRule="auto"/>
        <w:ind w:firstLine="709"/>
        <w:jc w:val="both"/>
        <w:rPr>
          <w:rFonts w:ascii="Arial" w:hAnsi="Arial" w:cs="Arial"/>
          <w:b/>
          <w:lang w:val="es-MX" w:eastAsia="es-ES"/>
        </w:rPr>
      </w:pPr>
    </w:p>
    <w:p w14:paraId="01A781B2"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lang w:val="es-MX" w:eastAsia="es-ES"/>
        </w:rPr>
        <w:t xml:space="preserve">QUINTA. </w:t>
      </w:r>
      <w:r w:rsidRPr="009E008C">
        <w:rPr>
          <w:rFonts w:cs="Arial"/>
          <w:b/>
          <w:lang w:val="es-MX" w:eastAsia="es-ES"/>
        </w:rPr>
        <w:t xml:space="preserve"> </w:t>
      </w:r>
      <w:r w:rsidRPr="009E008C">
        <w:rPr>
          <w:rFonts w:ascii="Arial" w:hAnsi="Arial" w:cs="Arial"/>
          <w:iCs/>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22743A9" w14:textId="77777777" w:rsidR="009E008C" w:rsidRPr="009E008C" w:rsidRDefault="009E008C" w:rsidP="009E008C">
      <w:pPr>
        <w:spacing w:line="360" w:lineRule="auto"/>
        <w:ind w:firstLine="709"/>
        <w:jc w:val="both"/>
        <w:rPr>
          <w:rFonts w:ascii="Arial" w:hAnsi="Arial" w:cs="Arial"/>
          <w:iCs/>
          <w:lang w:val="es-MX" w:eastAsia="es-ES"/>
        </w:rPr>
      </w:pPr>
    </w:p>
    <w:p w14:paraId="075B748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r w:rsidRPr="009E008C">
        <w:rPr>
          <w:rFonts w:ascii="Arial" w:hAnsi="Arial" w:cs="Arial"/>
          <w:lang w:val="es-MX" w:eastAsia="es-ES"/>
        </w:rPr>
        <w:t xml:space="preserve">De tal suerte, que como se ha referido con anterioridad, </w:t>
      </w:r>
      <w:r w:rsidRPr="009E008C">
        <w:rPr>
          <w:rFonts w:ascii="Arial" w:hAnsi="Arial" w:cs="Arial"/>
          <w:iCs/>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5A912A2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p>
    <w:p w14:paraId="0E0A0B19"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32586472" w14:textId="77777777" w:rsidR="009E008C" w:rsidRPr="009E008C" w:rsidRDefault="009E008C" w:rsidP="009E008C">
      <w:pPr>
        <w:spacing w:line="360" w:lineRule="auto"/>
        <w:jc w:val="both"/>
        <w:rPr>
          <w:rFonts w:ascii="Arial" w:hAnsi="Arial" w:cs="Arial"/>
          <w:lang w:val="es-MX" w:eastAsia="es-ES"/>
        </w:rPr>
      </w:pPr>
    </w:p>
    <w:p w14:paraId="0412434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 xml:space="preserve">Entre los principios señalados en dicha controversia se destacan los siguientes: </w:t>
      </w:r>
    </w:p>
    <w:p w14:paraId="4BAAE649" w14:textId="77777777" w:rsidR="009E008C" w:rsidRPr="009E008C" w:rsidRDefault="009E008C" w:rsidP="009E008C">
      <w:pPr>
        <w:spacing w:line="360" w:lineRule="auto"/>
        <w:ind w:firstLine="708"/>
        <w:jc w:val="both"/>
        <w:rPr>
          <w:rFonts w:ascii="Arial" w:hAnsi="Arial" w:cs="Arial"/>
          <w:lang w:val="es-MX" w:eastAsia="es-ES"/>
        </w:rPr>
      </w:pPr>
    </w:p>
    <w:p w14:paraId="765157E8" w14:textId="77777777" w:rsidR="009E008C" w:rsidRPr="009E008C" w:rsidRDefault="009E008C" w:rsidP="00553A55">
      <w:pPr>
        <w:numPr>
          <w:ilvl w:val="0"/>
          <w:numId w:val="3"/>
        </w:numPr>
        <w:spacing w:line="360" w:lineRule="auto"/>
        <w:contextualSpacing/>
        <w:jc w:val="both"/>
        <w:rPr>
          <w:rFonts w:ascii="Arial" w:hAnsi="Arial" w:cs="Arial"/>
          <w:lang w:val="es-MX" w:eastAsia="es-ES"/>
        </w:rPr>
      </w:pPr>
      <w:r w:rsidRPr="009E008C">
        <w:rPr>
          <w:rFonts w:ascii="Arial" w:hAnsi="Arial" w:cs="Arial"/>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29A653DF" w14:textId="77777777" w:rsidR="009E008C" w:rsidRPr="009E008C" w:rsidRDefault="009E008C" w:rsidP="009E008C">
      <w:pPr>
        <w:spacing w:line="360" w:lineRule="auto"/>
        <w:ind w:left="720"/>
        <w:contextualSpacing/>
        <w:jc w:val="both"/>
        <w:rPr>
          <w:rFonts w:ascii="Arial" w:hAnsi="Arial" w:cs="Arial"/>
          <w:lang w:val="es-MX" w:eastAsia="es-ES"/>
        </w:rPr>
      </w:pPr>
    </w:p>
    <w:p w14:paraId="6CEC5DC3" w14:textId="77777777" w:rsidR="009E008C" w:rsidRPr="009E008C" w:rsidRDefault="009E008C" w:rsidP="00553A55">
      <w:pPr>
        <w:numPr>
          <w:ilvl w:val="0"/>
          <w:numId w:val="3"/>
        </w:numPr>
        <w:spacing w:line="360" w:lineRule="auto"/>
        <w:contextualSpacing/>
        <w:jc w:val="both"/>
        <w:rPr>
          <w:rFonts w:ascii="Arial" w:hAnsi="Arial" w:cs="Arial"/>
          <w:lang w:val="es-MX" w:eastAsia="es-ES"/>
        </w:rPr>
      </w:pPr>
      <w:r w:rsidRPr="009E008C">
        <w:rPr>
          <w:rFonts w:ascii="Arial" w:hAnsi="Arial" w:cs="Arial"/>
          <w:lang w:val="es-MX" w:eastAsia="es-ES"/>
        </w:rPr>
        <w:t xml:space="preserve">El principio de ejercicio directo del ayuntamiento de los recursos que integran la hacienda pública municipal, el cual implica que todos los recursos de la hacienda municipal, incluso los que no están sujetos al régimen de libre administración hacendaria, como las aportaciones </w:t>
      </w:r>
      <w:r w:rsidRPr="009E008C">
        <w:rPr>
          <w:rFonts w:ascii="Arial" w:hAnsi="Arial" w:cs="Arial"/>
          <w:lang w:val="es-MX" w:eastAsia="es-ES"/>
        </w:rPr>
        <w:lastRenderedPageBreak/>
        <w:t>federales, deben ejercerse en forma directa por los ayuntamientos o por quienes ellos autoricen conforme a la ley.</w:t>
      </w:r>
    </w:p>
    <w:p w14:paraId="42D5F42E" w14:textId="77777777" w:rsidR="009E008C" w:rsidRPr="009E008C" w:rsidRDefault="009E008C" w:rsidP="009E008C">
      <w:pPr>
        <w:spacing w:line="360" w:lineRule="auto"/>
        <w:ind w:left="708"/>
        <w:rPr>
          <w:rFonts w:ascii="Arial" w:hAnsi="Arial" w:cs="Arial"/>
          <w:lang w:val="es-MX" w:eastAsia="es-ES"/>
        </w:rPr>
      </w:pPr>
    </w:p>
    <w:p w14:paraId="250569BF" w14:textId="77777777" w:rsidR="009E008C" w:rsidRPr="009E008C" w:rsidRDefault="009E008C" w:rsidP="00553A55">
      <w:pPr>
        <w:numPr>
          <w:ilvl w:val="0"/>
          <w:numId w:val="3"/>
        </w:numPr>
        <w:spacing w:line="360" w:lineRule="auto"/>
        <w:contextualSpacing/>
        <w:jc w:val="both"/>
        <w:rPr>
          <w:rFonts w:ascii="Arial" w:hAnsi="Arial" w:cs="Arial"/>
          <w:lang w:val="es-MX" w:eastAsia="es-ES"/>
        </w:rPr>
      </w:pPr>
      <w:r w:rsidRPr="009E008C">
        <w:rPr>
          <w:rFonts w:ascii="Arial" w:hAnsi="Arial" w:cs="Arial"/>
          <w:lang w:val="es-MX" w:eastAsia="es-ES"/>
        </w:rPr>
        <w:t>El principio de integridad de los recursos municipales, consistente en que los municipios tienen derecho a la recepción puntual, efectiva y completa tanto de las participaciones como de las aportaciones federales.</w:t>
      </w:r>
    </w:p>
    <w:p w14:paraId="5BB6807A" w14:textId="77777777" w:rsidR="009E008C" w:rsidRPr="009E008C" w:rsidRDefault="009E008C" w:rsidP="009E008C">
      <w:pPr>
        <w:spacing w:line="360" w:lineRule="auto"/>
        <w:ind w:left="720"/>
        <w:contextualSpacing/>
        <w:jc w:val="both"/>
        <w:rPr>
          <w:rFonts w:ascii="Arial" w:hAnsi="Arial" w:cs="Arial"/>
          <w:lang w:val="es-MX" w:eastAsia="es-ES"/>
        </w:rPr>
      </w:pPr>
    </w:p>
    <w:p w14:paraId="036BBC1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b/>
          <w:iCs/>
          <w:lang w:val="es-MX" w:eastAsia="es-ES"/>
        </w:rPr>
      </w:pPr>
      <w:r w:rsidRPr="009E008C">
        <w:rPr>
          <w:rFonts w:ascii="Arial" w:hAnsi="Arial" w:cs="Arial"/>
          <w:iCs/>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9E008C">
        <w:rPr>
          <w:rFonts w:ascii="Arial" w:hAnsi="Arial" w:cs="Arial"/>
          <w:b/>
          <w:iCs/>
          <w:lang w:val="es-MX" w:eastAsia="es-ES"/>
        </w:rPr>
        <w:t xml:space="preserve">. </w:t>
      </w:r>
    </w:p>
    <w:p w14:paraId="571B63D2"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p>
    <w:p w14:paraId="50D1423C"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iCs/>
          <w:lang w:val="es-MX" w:eastAsia="es-ES"/>
        </w:rPr>
        <w:t>Asimismo,</w:t>
      </w:r>
      <w:r w:rsidRPr="009E008C">
        <w:rPr>
          <w:rFonts w:ascii="Arial" w:hAnsi="Arial" w:cs="Arial"/>
          <w:b/>
          <w:iCs/>
          <w:lang w:val="es-MX" w:eastAsia="es-ES"/>
        </w:rPr>
        <w:t xml:space="preserve"> </w:t>
      </w:r>
      <w:r w:rsidRPr="009E008C">
        <w:rPr>
          <w:rFonts w:ascii="Arial" w:hAnsi="Arial" w:cs="Arial"/>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06E6D490"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607546D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Refuerzan lo anterior los criterios emitidos por la Suprema Corte de Justicia de la Nación en el rubro: </w:t>
      </w:r>
      <w:r w:rsidRPr="009E008C">
        <w:rPr>
          <w:rFonts w:ascii="Arial" w:hAnsi="Arial" w:cs="Arial"/>
          <w:b/>
          <w:i/>
          <w:lang w:val="es-MX" w:eastAsia="es-ES"/>
        </w:rPr>
        <w:t>HACIENDA MUNICIPAL. PRINCIPIOS, DERECHOS Y FACULTADES EN ESA MATERIA, PREVISTOS EN EL ARTÍCULO 115, FRACCIÓN IV, DE LA CONSTITUCIÓN POLÍTICA DE LOS ESTADOS UNIDOS MEXICANOS</w:t>
      </w:r>
      <w:r w:rsidRPr="009E008C">
        <w:rPr>
          <w:rFonts w:ascii="Arial" w:hAnsi="Arial" w:cs="Arial"/>
          <w:lang w:val="es-MX" w:eastAsia="es-ES"/>
        </w:rPr>
        <w:t>.</w:t>
      </w:r>
      <w:r w:rsidRPr="009E008C">
        <w:rPr>
          <w:rFonts w:ascii="Arial" w:hAnsi="Arial" w:cs="Arial"/>
          <w:vertAlign w:val="superscript"/>
          <w:lang w:val="es-MX" w:eastAsia="es-ES"/>
        </w:rPr>
        <w:footnoteReference w:id="1"/>
      </w:r>
    </w:p>
    <w:p w14:paraId="0E2B9E98"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3A6FE3B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717ED929"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2A5DEE43"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w:t>
      </w:r>
      <w:r w:rsidRPr="009E008C">
        <w:rPr>
          <w:rFonts w:ascii="Arial" w:hAnsi="Arial" w:cs="Arial"/>
          <w:lang w:val="es-MX" w:eastAsia="es-ES"/>
        </w:rPr>
        <w:lastRenderedPageBreak/>
        <w:t>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708A3742"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0176E4A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492E8FF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1A54F003"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Dichos cambios, son acordes con los criterios del Pleno de la Suprema Corte de Justicia de la Nación la cual ha establecido en la tesis de rubro “</w:t>
      </w:r>
      <w:r w:rsidRPr="009E008C">
        <w:rPr>
          <w:rFonts w:ascii="Arial" w:hAnsi="Arial" w:cs="Arial"/>
          <w:b/>
          <w:i/>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9E008C">
        <w:rPr>
          <w:rFonts w:ascii="Arial" w:hAnsi="Arial" w:cs="Arial"/>
          <w:b/>
          <w:i/>
          <w:vertAlign w:val="superscript"/>
          <w:lang w:val="es-MX" w:eastAsia="es-ES"/>
        </w:rPr>
        <w:footnoteReference w:id="2"/>
      </w:r>
      <w:r w:rsidRPr="009E008C">
        <w:rPr>
          <w:rFonts w:ascii="Arial" w:hAnsi="Arial" w:cs="Arial"/>
          <w:b/>
          <w:i/>
          <w:lang w:val="es-MX" w:eastAsia="es-ES"/>
        </w:rPr>
        <w:t xml:space="preserve">” </w:t>
      </w:r>
      <w:r w:rsidRPr="009E008C">
        <w:rPr>
          <w:rFonts w:ascii="Arial" w:hAnsi="Arial" w:cs="Arial"/>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478871C4" w14:textId="77777777" w:rsidR="009E008C" w:rsidRPr="009E008C" w:rsidRDefault="009E008C" w:rsidP="009E008C">
      <w:pPr>
        <w:spacing w:line="360" w:lineRule="auto"/>
        <w:ind w:firstLine="600"/>
        <w:jc w:val="both"/>
        <w:rPr>
          <w:rFonts w:ascii="Arial" w:hAnsi="Arial" w:cs="Arial"/>
          <w:b/>
          <w:lang w:val="es-MX" w:eastAsia="es-ES"/>
        </w:rPr>
      </w:pPr>
    </w:p>
    <w:p w14:paraId="58813B67"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 xml:space="preserve">SEXTA. </w:t>
      </w:r>
      <w:r w:rsidRPr="009E008C">
        <w:rPr>
          <w:rFonts w:ascii="Arial" w:hAnsi="Arial" w:cs="Arial"/>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70D0B808" w14:textId="77777777" w:rsidR="009E008C" w:rsidRPr="009E008C" w:rsidRDefault="009E008C" w:rsidP="009E008C">
      <w:pPr>
        <w:spacing w:line="360" w:lineRule="auto"/>
        <w:ind w:firstLine="708"/>
        <w:jc w:val="both"/>
        <w:rPr>
          <w:rFonts w:ascii="Arial" w:hAnsi="Arial" w:cs="Arial"/>
          <w:lang w:val="es-MX" w:eastAsia="es-ES"/>
        </w:rPr>
      </w:pPr>
    </w:p>
    <w:p w14:paraId="1230EE0A" w14:textId="77777777" w:rsidR="009E008C" w:rsidRPr="009E008C" w:rsidRDefault="009E008C" w:rsidP="009E008C">
      <w:pPr>
        <w:spacing w:line="360" w:lineRule="auto"/>
        <w:ind w:firstLine="708"/>
        <w:jc w:val="both"/>
        <w:rPr>
          <w:rFonts w:ascii="Arial" w:hAnsi="Arial" w:cs="Arial"/>
          <w:b/>
          <w:lang w:val="es-MX" w:eastAsia="es-ES"/>
        </w:rPr>
      </w:pPr>
      <w:r w:rsidRPr="009E008C">
        <w:rPr>
          <w:rFonts w:ascii="Arial" w:hAnsi="Arial" w:cs="Arial"/>
          <w:lang w:val="es-MX" w:eastAsia="es-ES"/>
        </w:rPr>
        <w:t xml:space="preserve">Estos elementos están contenidos en las tesis de rubros </w:t>
      </w:r>
      <w:r w:rsidRPr="009E008C">
        <w:rPr>
          <w:rFonts w:ascii="Arial" w:hAnsi="Arial" w:cs="Arial"/>
          <w:b/>
          <w:lang w:val="es-MX" w:eastAsia="es-ES"/>
        </w:rPr>
        <w:t>"</w:t>
      </w:r>
      <w:r w:rsidRPr="009E008C">
        <w:rPr>
          <w:rFonts w:ascii="Arial" w:hAnsi="Arial" w:cs="Arial"/>
          <w:b/>
          <w:i/>
          <w:lang w:val="es-MX" w:eastAsia="es-ES"/>
        </w:rPr>
        <w:t>IMPUESTOS, PRINCIPIO DE LEGALIDAD QUE EN MATERIA DE, CONSAGRA LA CONSTITUCIÓN FEDERAL</w:t>
      </w:r>
      <w:r w:rsidRPr="009E008C">
        <w:rPr>
          <w:rFonts w:ascii="Arial" w:hAnsi="Arial" w:cs="Arial"/>
          <w:b/>
          <w:i/>
          <w:vertAlign w:val="superscript"/>
          <w:lang w:val="es-MX" w:eastAsia="es-ES"/>
        </w:rPr>
        <w:footnoteReference w:id="3"/>
      </w:r>
      <w:r w:rsidRPr="009E008C">
        <w:rPr>
          <w:rFonts w:ascii="Arial" w:hAnsi="Arial" w:cs="Arial"/>
          <w:b/>
          <w:lang w:val="es-MX" w:eastAsia="es-ES"/>
        </w:rPr>
        <w:t>"</w:t>
      </w:r>
      <w:r w:rsidRPr="009E008C">
        <w:rPr>
          <w:rFonts w:ascii="Arial" w:hAnsi="Arial" w:cs="Arial"/>
          <w:lang w:val="es-MX" w:eastAsia="es-ES"/>
        </w:rPr>
        <w:t xml:space="preserve"> e </w:t>
      </w:r>
      <w:r w:rsidRPr="009E008C">
        <w:rPr>
          <w:rFonts w:ascii="Arial" w:hAnsi="Arial" w:cs="Arial"/>
          <w:b/>
          <w:lang w:val="es-MX" w:eastAsia="es-ES"/>
        </w:rPr>
        <w:t>"</w:t>
      </w:r>
      <w:r w:rsidRPr="009E008C">
        <w:rPr>
          <w:rFonts w:ascii="Arial" w:hAnsi="Arial" w:cs="Arial"/>
          <w:b/>
          <w:i/>
          <w:lang w:val="es-MX" w:eastAsia="es-ES"/>
        </w:rPr>
        <w:t>IMPUESTOS, ELEMENTOS ESENCIALES DE LOS. DEBEN ESTAR CONSIGNADOS EXPRESAMENTE EN LA LEY</w:t>
      </w:r>
      <w:r w:rsidRPr="009E008C">
        <w:rPr>
          <w:rFonts w:ascii="Arial" w:hAnsi="Arial" w:cs="Arial"/>
          <w:b/>
          <w:i/>
          <w:vertAlign w:val="superscript"/>
          <w:lang w:val="es-MX" w:eastAsia="es-ES"/>
        </w:rPr>
        <w:footnoteReference w:id="4"/>
      </w:r>
      <w:r w:rsidRPr="009E008C">
        <w:rPr>
          <w:rFonts w:ascii="Arial" w:hAnsi="Arial" w:cs="Arial"/>
          <w:b/>
          <w:lang w:val="es-MX" w:eastAsia="es-ES"/>
        </w:rPr>
        <w:t>"</w:t>
      </w:r>
    </w:p>
    <w:p w14:paraId="7A28B518" w14:textId="77777777" w:rsidR="009E008C" w:rsidRPr="009E008C" w:rsidRDefault="009E008C" w:rsidP="009E008C">
      <w:pPr>
        <w:spacing w:line="360" w:lineRule="auto"/>
        <w:jc w:val="both"/>
        <w:rPr>
          <w:rFonts w:ascii="Arial" w:hAnsi="Arial" w:cs="Arial"/>
          <w:lang w:val="es-MX" w:eastAsia="es-ES"/>
        </w:rPr>
      </w:pPr>
    </w:p>
    <w:p w14:paraId="06B85428"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9E008C">
        <w:rPr>
          <w:rFonts w:ascii="Arial" w:hAnsi="Arial" w:cs="Arial"/>
          <w:b/>
          <w:lang w:val="es-MX" w:eastAsia="es-ES"/>
        </w:rPr>
        <w:t>tesis P. CXLVIII/97</w:t>
      </w:r>
      <w:r w:rsidRPr="009E008C">
        <w:rPr>
          <w:rFonts w:ascii="Arial" w:hAnsi="Arial" w:cs="Arial"/>
          <w:lang w:val="es-MX" w:eastAsia="es-ES"/>
        </w:rPr>
        <w:t xml:space="preserve"> de rubro “</w:t>
      </w:r>
      <w:r w:rsidRPr="009E008C">
        <w:rPr>
          <w:rFonts w:ascii="Arial" w:hAnsi="Arial" w:cs="Arial"/>
          <w:b/>
          <w:i/>
          <w:lang w:val="es-MX" w:eastAsia="es-ES"/>
        </w:rPr>
        <w:t>LEGALIDAD TRIBUTARIA. ALCANCE DEL PRINCIPIO DE RESERVA DE LEY</w:t>
      </w:r>
      <w:r w:rsidRPr="009E008C">
        <w:rPr>
          <w:rFonts w:ascii="Arial" w:hAnsi="Arial" w:cs="Arial"/>
          <w:b/>
          <w:i/>
          <w:vertAlign w:val="superscript"/>
          <w:lang w:val="es-MX" w:eastAsia="es-ES"/>
        </w:rPr>
        <w:footnoteReference w:id="5"/>
      </w:r>
      <w:r w:rsidRPr="009E008C">
        <w:rPr>
          <w:rFonts w:ascii="Arial" w:hAnsi="Arial" w:cs="Arial"/>
          <w:b/>
          <w:lang w:val="es-MX" w:eastAsia="es-ES"/>
        </w:rPr>
        <w:t>”</w:t>
      </w:r>
    </w:p>
    <w:p w14:paraId="68812E83" w14:textId="77777777" w:rsidR="009E008C" w:rsidRPr="009E008C" w:rsidRDefault="009E008C" w:rsidP="009E008C">
      <w:pPr>
        <w:spacing w:line="360" w:lineRule="auto"/>
        <w:jc w:val="both"/>
        <w:rPr>
          <w:rFonts w:ascii="Arial" w:hAnsi="Arial" w:cs="Arial"/>
          <w:lang w:val="es-MX" w:eastAsia="es-ES"/>
        </w:rPr>
      </w:pPr>
    </w:p>
    <w:p w14:paraId="3EE24955"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0A241162"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lang w:val="es-MX" w:eastAsia="es-ES"/>
        </w:rPr>
        <w:tab/>
      </w:r>
    </w:p>
    <w:p w14:paraId="24BB855D"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8F8136E" w14:textId="77777777" w:rsidR="009E008C" w:rsidRPr="009E008C" w:rsidRDefault="009E008C" w:rsidP="009E008C">
      <w:pPr>
        <w:spacing w:line="360" w:lineRule="auto"/>
        <w:jc w:val="both"/>
        <w:rPr>
          <w:rFonts w:ascii="Arial" w:hAnsi="Arial" w:cs="Arial"/>
          <w:lang w:val="es-MX" w:eastAsia="es-ES"/>
        </w:rPr>
      </w:pPr>
    </w:p>
    <w:p w14:paraId="700E4A3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6F41DEFE" w14:textId="77777777" w:rsidR="009E008C" w:rsidRPr="009E008C" w:rsidRDefault="009E008C" w:rsidP="009E008C">
      <w:pPr>
        <w:spacing w:line="360" w:lineRule="auto"/>
        <w:jc w:val="both"/>
        <w:rPr>
          <w:rFonts w:ascii="Arial" w:hAnsi="Arial" w:cs="Arial"/>
          <w:lang w:val="es-MX" w:eastAsia="es-ES"/>
        </w:rPr>
      </w:pPr>
    </w:p>
    <w:p w14:paraId="4D14AD5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lastRenderedPageBreak/>
        <w:t xml:space="preserve">Todo lo anterior, se encuentra consagrado en las tesis jurisprudenciales del Pleno de la Suprema Corte de Justicia de la Nación de numero </w:t>
      </w:r>
      <w:r w:rsidRPr="009E008C">
        <w:rPr>
          <w:rFonts w:ascii="Arial" w:hAnsi="Arial" w:cs="Arial"/>
          <w:b/>
          <w:i/>
          <w:lang w:val="es-MX" w:eastAsia="es-ES"/>
        </w:rPr>
        <w:t>P./J. 109/99</w:t>
      </w:r>
      <w:r w:rsidRPr="009E008C">
        <w:rPr>
          <w:rFonts w:ascii="Arial" w:hAnsi="Arial" w:cs="Arial"/>
          <w:lang w:val="es-MX" w:eastAsia="es-ES"/>
        </w:rPr>
        <w:t xml:space="preserve"> y </w:t>
      </w:r>
      <w:r w:rsidRPr="009E008C">
        <w:rPr>
          <w:rFonts w:ascii="Arial" w:hAnsi="Arial" w:cs="Arial"/>
          <w:b/>
          <w:i/>
          <w:lang w:val="es-MX" w:eastAsia="es-ES"/>
        </w:rPr>
        <w:t>P./J. 10/2003</w:t>
      </w:r>
      <w:r w:rsidRPr="009E008C">
        <w:rPr>
          <w:rFonts w:ascii="Arial" w:hAnsi="Arial" w:cs="Arial"/>
          <w:lang w:val="es-MX" w:eastAsia="es-ES"/>
        </w:rPr>
        <w:t>, de rubros: "</w:t>
      </w:r>
      <w:r w:rsidRPr="009E008C">
        <w:rPr>
          <w:rFonts w:ascii="Arial" w:hAnsi="Arial" w:cs="Arial"/>
          <w:b/>
          <w:i/>
          <w:lang w:val="es-MX" w:eastAsia="es-ES"/>
        </w:rPr>
        <w:t>CAPACIDAD CONTRIBUTIVA. CONSISTE EN LA POTENCIALIDAD REAL DE CONTRIBUIR A LOS GASTOS PÚBLICOS</w:t>
      </w:r>
      <w:r w:rsidRPr="009E008C">
        <w:rPr>
          <w:rFonts w:ascii="Arial" w:hAnsi="Arial" w:cs="Arial"/>
          <w:vertAlign w:val="superscript"/>
          <w:lang w:val="es-MX" w:eastAsia="es-ES"/>
        </w:rPr>
        <w:footnoteReference w:id="6"/>
      </w:r>
      <w:r w:rsidRPr="009E008C">
        <w:rPr>
          <w:rFonts w:ascii="Arial" w:hAnsi="Arial" w:cs="Arial"/>
          <w:lang w:val="es-MX" w:eastAsia="es-ES"/>
        </w:rPr>
        <w:t>" y "</w:t>
      </w:r>
      <w:r w:rsidRPr="009E008C">
        <w:rPr>
          <w:rFonts w:ascii="Arial" w:hAnsi="Arial" w:cs="Arial"/>
          <w:b/>
          <w:i/>
          <w:lang w:val="es-MX" w:eastAsia="es-ES"/>
        </w:rPr>
        <w:t>PROPORCIONALIDAD TRIBUTARIA. DEBE EXISTIR CONGRUENCIA ENTRE EL TRIBUTO Y LA CAPACIDAD CONTRIBUTIVA DE LOS CAUSANTES</w:t>
      </w:r>
      <w:r w:rsidRPr="009E008C">
        <w:rPr>
          <w:rFonts w:ascii="Arial" w:hAnsi="Arial" w:cs="Arial"/>
          <w:b/>
          <w:i/>
          <w:vertAlign w:val="superscript"/>
          <w:lang w:val="es-MX" w:eastAsia="es-ES"/>
        </w:rPr>
        <w:footnoteReference w:id="7"/>
      </w:r>
      <w:r w:rsidRPr="009E008C">
        <w:rPr>
          <w:rFonts w:ascii="Arial" w:hAnsi="Arial" w:cs="Arial"/>
          <w:lang w:val="es-MX" w:eastAsia="es-ES"/>
        </w:rPr>
        <w:t>"</w:t>
      </w:r>
    </w:p>
    <w:p w14:paraId="2D4A87D9" w14:textId="77777777" w:rsidR="009E008C" w:rsidRPr="009E008C" w:rsidRDefault="009E008C" w:rsidP="009E008C">
      <w:pPr>
        <w:spacing w:line="360" w:lineRule="auto"/>
        <w:jc w:val="both"/>
        <w:rPr>
          <w:rFonts w:ascii="Arial" w:hAnsi="Arial" w:cs="Arial"/>
          <w:lang w:val="es-MX" w:eastAsia="es-ES"/>
        </w:rPr>
      </w:pPr>
    </w:p>
    <w:p w14:paraId="1F4A4DE0"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Igualmente, es de destacarse que el máximo tribunal ha sostenido en las tesis de rubro </w:t>
      </w:r>
      <w:r w:rsidRPr="009E008C">
        <w:rPr>
          <w:rFonts w:ascii="Arial" w:hAnsi="Arial" w:cs="Arial"/>
          <w:b/>
          <w:i/>
          <w:lang w:val="es-MX" w:eastAsia="es-ES"/>
        </w:rPr>
        <w:t>"IMPUESTOS, VALIDEZ CONSTITUCIONAL DE LOS</w:t>
      </w:r>
      <w:r w:rsidRPr="009E008C">
        <w:rPr>
          <w:rFonts w:ascii="Arial" w:hAnsi="Arial" w:cs="Arial"/>
          <w:b/>
          <w:i/>
          <w:vertAlign w:val="superscript"/>
          <w:lang w:val="es-MX" w:eastAsia="es-ES"/>
        </w:rPr>
        <w:footnoteReference w:id="8"/>
      </w:r>
      <w:r w:rsidRPr="009E008C">
        <w:rPr>
          <w:rFonts w:ascii="Arial" w:hAnsi="Arial" w:cs="Arial"/>
          <w:b/>
          <w:i/>
          <w:lang w:val="es-MX" w:eastAsia="es-ES"/>
        </w:rPr>
        <w:t>" e "IMPUESTOS, PROPORCIONALIDAD Y EQUIDAD DE LOS</w:t>
      </w:r>
      <w:r w:rsidRPr="009E008C">
        <w:rPr>
          <w:rFonts w:ascii="Arial" w:hAnsi="Arial" w:cs="Arial"/>
          <w:b/>
          <w:i/>
          <w:vertAlign w:val="superscript"/>
          <w:lang w:val="es-MX" w:eastAsia="es-ES"/>
        </w:rPr>
        <w:footnoteReference w:id="9"/>
      </w:r>
      <w:r w:rsidRPr="009E008C">
        <w:rPr>
          <w:rFonts w:ascii="Arial" w:hAnsi="Arial" w:cs="Arial"/>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09A4D24" w14:textId="77777777" w:rsidR="009E008C" w:rsidRPr="009E008C" w:rsidRDefault="009E008C" w:rsidP="009E008C">
      <w:pPr>
        <w:spacing w:line="360" w:lineRule="auto"/>
        <w:jc w:val="both"/>
        <w:rPr>
          <w:rFonts w:ascii="Arial" w:hAnsi="Arial" w:cs="Arial"/>
          <w:lang w:val="es-MX" w:eastAsia="es-ES"/>
        </w:rPr>
      </w:pPr>
    </w:p>
    <w:p w14:paraId="3A8E0B7C"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765B70BB" w14:textId="77777777" w:rsidR="009E008C" w:rsidRPr="009E008C" w:rsidRDefault="009E008C" w:rsidP="009E008C">
      <w:pPr>
        <w:spacing w:line="360" w:lineRule="auto"/>
        <w:jc w:val="both"/>
        <w:rPr>
          <w:rFonts w:ascii="Arial" w:hAnsi="Arial" w:cs="Arial"/>
          <w:lang w:val="es-MX" w:eastAsia="es-ES"/>
        </w:rPr>
      </w:pPr>
    </w:p>
    <w:p w14:paraId="2D00B5B0"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0F46EF3E" w14:textId="77777777" w:rsidR="009E008C" w:rsidRPr="009E008C" w:rsidRDefault="009E008C" w:rsidP="009E008C">
      <w:pPr>
        <w:spacing w:line="360" w:lineRule="auto"/>
        <w:jc w:val="both"/>
        <w:rPr>
          <w:rFonts w:ascii="Arial" w:hAnsi="Arial" w:cs="Arial"/>
          <w:lang w:val="es-MX" w:eastAsia="es-ES"/>
        </w:rPr>
      </w:pPr>
    </w:p>
    <w:p w14:paraId="2F54C9E2"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62D1AAF5" w14:textId="77777777" w:rsidR="009E008C" w:rsidRPr="009E008C" w:rsidRDefault="009E008C" w:rsidP="009E008C">
      <w:pPr>
        <w:spacing w:line="360" w:lineRule="auto"/>
        <w:ind w:firstLine="600"/>
        <w:jc w:val="both"/>
        <w:rPr>
          <w:rFonts w:ascii="Arial" w:hAnsi="Arial" w:cs="Arial"/>
          <w:b/>
          <w:lang w:val="es-MX" w:eastAsia="es-ES"/>
        </w:rPr>
      </w:pPr>
    </w:p>
    <w:p w14:paraId="20985A43"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SÉPTIMA.-</w:t>
      </w:r>
      <w:r w:rsidRPr="009E008C">
        <w:rPr>
          <w:rFonts w:ascii="Arial" w:hAnsi="Arial" w:cs="Arial"/>
          <w:lang w:val="es-MX" w:eastAsia="es-ES"/>
        </w:rPr>
        <w:t xml:space="preserve"> Por todo lo expuesto y fundado, los diputados integrantes de la Comisión Permanente de Presupuesto, Patrimonio Estatal y Municipal, consideramos que las iniciativas que proponen Leyes de Hacienda de los </w:t>
      </w:r>
      <w:r w:rsidRPr="009E008C">
        <w:rPr>
          <w:rFonts w:ascii="Arial" w:hAnsi="Arial" w:cs="Arial"/>
          <w:bCs/>
          <w:lang w:val="es-MX" w:eastAsia="es-ES"/>
        </w:rPr>
        <w:t>Municipios de Conkal, Hunucmá, Ixil, Kanasín y Tixpéual, todas del Estado de Yucatán</w:t>
      </w:r>
      <w:r w:rsidRPr="009E008C">
        <w:rPr>
          <w:rFonts w:ascii="Arial" w:hAnsi="Arial" w:cs="Arial"/>
          <w:lang w:val="es-MX" w:eastAsia="es-ES"/>
        </w:rPr>
        <w:t>, deben ser aprobadas, con las modificaciones y los razonamientos previamente vertidos.</w:t>
      </w:r>
    </w:p>
    <w:p w14:paraId="0FCB8D57" w14:textId="77777777" w:rsidR="009E008C" w:rsidRPr="009E008C" w:rsidRDefault="009E008C" w:rsidP="009E008C">
      <w:pPr>
        <w:spacing w:line="360" w:lineRule="auto"/>
        <w:ind w:firstLine="600"/>
        <w:jc w:val="both"/>
        <w:rPr>
          <w:rFonts w:ascii="Arial" w:hAnsi="Arial" w:cs="Arial"/>
          <w:lang w:val="es-MX" w:eastAsia="es-ES"/>
        </w:rPr>
      </w:pPr>
    </w:p>
    <w:p w14:paraId="0EFA03A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En tal virtud y con fundamento en los artículos 30, fracción V de </w:t>
      </w:r>
      <w:smartTag w:uri="urn:schemas-microsoft-com:office:smarttags" w:element="PersonName">
        <w:smartTagPr>
          <w:attr w:name="ProductID" w:val="曰"/>
        </w:smartTagPr>
        <w:r w:rsidRPr="009E008C">
          <w:rPr>
            <w:rFonts w:ascii="Arial" w:hAnsi="Arial" w:cs="Arial"/>
            <w:lang w:val="es-MX" w:eastAsia="es-ES"/>
          </w:rPr>
          <w:t>la Constitución Política</w:t>
        </w:r>
      </w:smartTag>
      <w:r w:rsidRPr="009E008C">
        <w:rPr>
          <w:rFonts w:ascii="Arial" w:hAnsi="Arial" w:cs="Arial"/>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2F08083C" w14:textId="77777777" w:rsidR="009E008C" w:rsidRDefault="009E008C" w:rsidP="00867034">
      <w:pPr>
        <w:widowControl w:val="0"/>
        <w:autoSpaceDE w:val="0"/>
        <w:autoSpaceDN w:val="0"/>
        <w:spacing w:line="360" w:lineRule="auto"/>
        <w:jc w:val="center"/>
        <w:rPr>
          <w:rFonts w:ascii="Arial" w:eastAsia="Arial" w:hAnsi="Arial" w:cs="Arial"/>
          <w:b/>
        </w:rPr>
      </w:pPr>
    </w:p>
    <w:p w14:paraId="4718D42E" w14:textId="77777777" w:rsidR="00867034" w:rsidRPr="00867034" w:rsidRDefault="00867034" w:rsidP="00867034">
      <w:pPr>
        <w:widowControl w:val="0"/>
        <w:autoSpaceDE w:val="0"/>
        <w:autoSpaceDN w:val="0"/>
        <w:spacing w:line="360" w:lineRule="auto"/>
        <w:jc w:val="center"/>
        <w:rPr>
          <w:rFonts w:ascii="Arial" w:eastAsia="Arial" w:hAnsi="Arial" w:cs="Arial"/>
          <w:b/>
        </w:rPr>
      </w:pPr>
      <w:r w:rsidRPr="00867034">
        <w:rPr>
          <w:rFonts w:ascii="Arial" w:eastAsia="Arial" w:hAnsi="Arial" w:cs="Arial"/>
          <w:b/>
        </w:rPr>
        <w:t>D E C R E T O</w:t>
      </w:r>
    </w:p>
    <w:p w14:paraId="33E03D3F" w14:textId="57CF67E7" w:rsidR="00867034" w:rsidRPr="00867034" w:rsidRDefault="00867034" w:rsidP="00867034">
      <w:pPr>
        <w:widowControl w:val="0"/>
        <w:autoSpaceDE w:val="0"/>
        <w:autoSpaceDN w:val="0"/>
        <w:jc w:val="center"/>
        <w:rPr>
          <w:rFonts w:ascii="Arial" w:eastAsia="Arial" w:hAnsi="Arial" w:cs="Arial"/>
          <w:b/>
          <w:lang w:val="es-MX"/>
        </w:rPr>
      </w:pPr>
      <w:r w:rsidRPr="00867034">
        <w:rPr>
          <w:rFonts w:ascii="Arial" w:eastAsia="Arial" w:hAnsi="Arial" w:cs="Arial"/>
          <w:b/>
          <w:lang w:val="es-MX"/>
        </w:rPr>
        <w:t xml:space="preserve">Por el que se expiden las Leyes de Hacienda de los Municipios de Conkal, Hunucmá, Ixil, </w:t>
      </w:r>
      <w:r w:rsidR="001E683C" w:rsidRPr="000A2EA2">
        <w:rPr>
          <w:rFonts w:ascii="Arial" w:eastAsia="Arial" w:hAnsi="Arial" w:cs="Arial"/>
          <w:b/>
          <w:lang w:val="es-MX"/>
        </w:rPr>
        <w:t>Kanasín</w:t>
      </w:r>
      <w:r w:rsidRPr="00867034">
        <w:rPr>
          <w:rFonts w:ascii="Arial" w:eastAsia="Arial" w:hAnsi="Arial" w:cs="Arial"/>
          <w:b/>
          <w:lang w:val="es-MX"/>
        </w:rPr>
        <w:t xml:space="preserve"> y </w:t>
      </w:r>
      <w:r w:rsidR="001E683C" w:rsidRPr="000A2EA2">
        <w:rPr>
          <w:rFonts w:ascii="Arial" w:eastAsia="Arial" w:hAnsi="Arial" w:cs="Arial"/>
          <w:b/>
          <w:lang w:val="es-MX"/>
        </w:rPr>
        <w:t>Tixpéual,</w:t>
      </w:r>
      <w:r w:rsidRPr="00867034">
        <w:rPr>
          <w:rFonts w:ascii="Arial" w:eastAsia="Arial" w:hAnsi="Arial" w:cs="Arial"/>
          <w:b/>
          <w:lang w:val="es-MX"/>
        </w:rPr>
        <w:t xml:space="preserve"> todas del Estado de Yucatán</w:t>
      </w:r>
    </w:p>
    <w:p w14:paraId="3C9A735A" w14:textId="77777777" w:rsidR="00867034" w:rsidRPr="00867034" w:rsidRDefault="00867034" w:rsidP="00867034">
      <w:pPr>
        <w:widowControl w:val="0"/>
        <w:autoSpaceDE w:val="0"/>
        <w:autoSpaceDN w:val="0"/>
        <w:spacing w:line="360" w:lineRule="auto"/>
        <w:jc w:val="center"/>
        <w:rPr>
          <w:rFonts w:ascii="Arial" w:eastAsia="Arial" w:hAnsi="Arial" w:cs="Arial"/>
          <w:b/>
          <w:lang w:val="es-MX"/>
        </w:rPr>
      </w:pPr>
    </w:p>
    <w:p w14:paraId="0C4818E4" w14:textId="13898D35" w:rsidR="00867034" w:rsidRPr="00867034" w:rsidRDefault="001E683C" w:rsidP="00867034">
      <w:pPr>
        <w:widowControl w:val="0"/>
        <w:autoSpaceDE w:val="0"/>
        <w:autoSpaceDN w:val="0"/>
        <w:spacing w:line="360" w:lineRule="auto"/>
        <w:jc w:val="both"/>
        <w:rPr>
          <w:rFonts w:ascii="Arial" w:eastAsia="Arial" w:hAnsi="Arial" w:cs="Arial"/>
          <w:b/>
          <w:lang w:val="es-MX"/>
        </w:rPr>
      </w:pPr>
      <w:r w:rsidRPr="000A2EA2">
        <w:rPr>
          <w:rFonts w:ascii="Arial" w:eastAsia="Arial" w:hAnsi="Arial" w:cs="Arial"/>
          <w:b/>
          <w:lang w:val="es-MX"/>
        </w:rPr>
        <w:t>Artículo Primero.</w:t>
      </w:r>
      <w:r w:rsidR="00867034" w:rsidRPr="00867034">
        <w:rPr>
          <w:rFonts w:ascii="Arial" w:eastAsia="Arial" w:hAnsi="Arial" w:cs="Arial"/>
          <w:b/>
          <w:lang w:val="es-MX"/>
        </w:rPr>
        <w:t xml:space="preserve"> </w:t>
      </w:r>
      <w:r w:rsidR="00867034" w:rsidRPr="00867034">
        <w:rPr>
          <w:rFonts w:ascii="Arial" w:eastAsia="Arial" w:hAnsi="Arial" w:cs="Arial"/>
          <w:lang w:val="es-MX"/>
        </w:rPr>
        <w:t xml:space="preserve">Se expiden las Leyes de Hacienda de los Municipios de: </w:t>
      </w:r>
      <w:r w:rsidR="00867034" w:rsidRPr="00867034">
        <w:rPr>
          <w:rFonts w:ascii="Arial" w:eastAsia="Arial" w:hAnsi="Arial" w:cs="Arial"/>
          <w:b/>
          <w:lang w:val="es-MX"/>
        </w:rPr>
        <w:t>I</w:t>
      </w:r>
      <w:r w:rsidR="00867034" w:rsidRPr="00867034">
        <w:rPr>
          <w:rFonts w:ascii="Arial" w:eastAsia="Arial" w:hAnsi="Arial" w:cs="Arial"/>
          <w:lang w:val="es-MX"/>
        </w:rPr>
        <w:t xml:space="preserve">. </w:t>
      </w:r>
      <w:r w:rsidRPr="00867034">
        <w:rPr>
          <w:rFonts w:ascii="Arial" w:eastAsia="Arial" w:hAnsi="Arial" w:cs="Arial"/>
          <w:lang w:val="es-MX"/>
        </w:rPr>
        <w:t>Conkal</w:t>
      </w:r>
      <w:r w:rsidR="00867034" w:rsidRPr="00867034">
        <w:rPr>
          <w:rFonts w:ascii="Arial" w:eastAsia="Arial" w:hAnsi="Arial" w:cs="Arial"/>
          <w:lang w:val="es-MX"/>
        </w:rPr>
        <w:t xml:space="preserve">, </w:t>
      </w:r>
      <w:r w:rsidR="00867034" w:rsidRPr="00867034">
        <w:rPr>
          <w:rFonts w:ascii="Arial" w:eastAsia="Arial" w:hAnsi="Arial" w:cs="Arial"/>
          <w:b/>
          <w:lang w:val="es-MX"/>
        </w:rPr>
        <w:t>II</w:t>
      </w:r>
      <w:r w:rsidR="00867034" w:rsidRPr="00867034">
        <w:rPr>
          <w:rFonts w:ascii="Arial" w:eastAsia="Arial" w:hAnsi="Arial" w:cs="Arial"/>
          <w:lang w:val="es-MX"/>
        </w:rPr>
        <w:t>.</w:t>
      </w:r>
      <w:r w:rsidRPr="000A2EA2">
        <w:rPr>
          <w:rFonts w:ascii="Arial" w:eastAsia="Arial" w:hAnsi="Arial" w:cs="Arial"/>
          <w:lang w:val="es-MX"/>
        </w:rPr>
        <w:t xml:space="preserve"> </w:t>
      </w:r>
      <w:r w:rsidRPr="00867034">
        <w:rPr>
          <w:rFonts w:ascii="Arial" w:eastAsia="Arial" w:hAnsi="Arial" w:cs="Arial"/>
          <w:lang w:val="es-MX"/>
        </w:rPr>
        <w:t>Hunucmá</w:t>
      </w:r>
      <w:r w:rsidR="00867034" w:rsidRPr="00867034">
        <w:rPr>
          <w:rFonts w:ascii="Arial" w:eastAsia="Arial" w:hAnsi="Arial" w:cs="Arial"/>
          <w:lang w:val="es-MX"/>
        </w:rPr>
        <w:t xml:space="preserve">, </w:t>
      </w:r>
      <w:r w:rsidR="00867034" w:rsidRPr="00867034">
        <w:rPr>
          <w:rFonts w:ascii="Arial" w:eastAsia="Arial" w:hAnsi="Arial" w:cs="Arial"/>
          <w:b/>
          <w:lang w:val="es-MX"/>
        </w:rPr>
        <w:t xml:space="preserve">III. </w:t>
      </w:r>
      <w:r w:rsidRPr="00867034">
        <w:rPr>
          <w:rFonts w:ascii="Arial" w:eastAsia="Arial" w:hAnsi="Arial" w:cs="Arial"/>
          <w:lang w:val="es-MX"/>
        </w:rPr>
        <w:t>Ixil</w:t>
      </w:r>
      <w:r w:rsidR="00867034" w:rsidRPr="00867034">
        <w:rPr>
          <w:rFonts w:ascii="Arial" w:eastAsia="Arial" w:hAnsi="Arial" w:cs="Arial"/>
          <w:lang w:val="es-MX"/>
        </w:rPr>
        <w:t xml:space="preserve">, </w:t>
      </w:r>
      <w:r w:rsidR="00867034" w:rsidRPr="00867034">
        <w:rPr>
          <w:rFonts w:ascii="Arial" w:eastAsia="Arial" w:hAnsi="Arial" w:cs="Arial"/>
          <w:b/>
          <w:lang w:val="es-MX"/>
        </w:rPr>
        <w:t>IV</w:t>
      </w:r>
      <w:r w:rsidR="00867034" w:rsidRPr="00867034">
        <w:rPr>
          <w:rFonts w:ascii="Arial" w:eastAsia="Arial" w:hAnsi="Arial" w:cs="Arial"/>
          <w:lang w:val="es-MX"/>
        </w:rPr>
        <w:t xml:space="preserve">. </w:t>
      </w:r>
      <w:r w:rsidRPr="000A2EA2">
        <w:rPr>
          <w:rFonts w:ascii="Arial" w:eastAsia="Arial" w:hAnsi="Arial" w:cs="Arial"/>
          <w:lang w:val="es-MX"/>
        </w:rPr>
        <w:t>Kanasín y</w:t>
      </w:r>
      <w:r w:rsidR="00867034" w:rsidRPr="00867034">
        <w:rPr>
          <w:rFonts w:ascii="Arial" w:eastAsia="Arial" w:hAnsi="Arial" w:cs="Arial"/>
          <w:lang w:val="es-MX"/>
        </w:rPr>
        <w:t xml:space="preserve"> </w:t>
      </w:r>
      <w:r w:rsidR="00867034" w:rsidRPr="00867034">
        <w:rPr>
          <w:rFonts w:ascii="Arial" w:eastAsia="Arial" w:hAnsi="Arial" w:cs="Arial"/>
          <w:b/>
          <w:lang w:val="es-MX"/>
        </w:rPr>
        <w:t>V.</w:t>
      </w:r>
      <w:r w:rsidR="00867034" w:rsidRPr="00867034">
        <w:rPr>
          <w:rFonts w:ascii="Arial" w:eastAsia="Arial" w:hAnsi="Arial" w:cs="Arial"/>
          <w:lang w:val="es-MX"/>
        </w:rPr>
        <w:t xml:space="preserve"> </w:t>
      </w:r>
      <w:r w:rsidRPr="000A2EA2">
        <w:rPr>
          <w:rFonts w:ascii="Arial" w:eastAsia="Arial" w:hAnsi="Arial" w:cs="Arial"/>
          <w:lang w:val="es-MX"/>
        </w:rPr>
        <w:t>Tixpéual</w:t>
      </w:r>
      <w:r w:rsidR="00867034" w:rsidRPr="00867034">
        <w:rPr>
          <w:rFonts w:ascii="Arial" w:eastAsia="Arial" w:hAnsi="Arial" w:cs="Arial"/>
          <w:lang w:val="es-MX"/>
        </w:rPr>
        <w:t>, todas del Estado de Yucatán</w:t>
      </w:r>
      <w:r w:rsidR="00867034" w:rsidRPr="00867034">
        <w:rPr>
          <w:rFonts w:ascii="Arial" w:eastAsia="Arial" w:hAnsi="Arial" w:cs="Arial"/>
          <w:b/>
          <w:lang w:val="es-MX"/>
        </w:rPr>
        <w:t>.</w:t>
      </w:r>
      <w:r w:rsidR="00867034" w:rsidRPr="00867034">
        <w:rPr>
          <w:rFonts w:ascii="Arial" w:eastAsia="Arial" w:hAnsi="Arial" w:cs="Arial"/>
          <w:b/>
          <w:bCs/>
          <w:lang w:val="es-MX"/>
        </w:rPr>
        <w:t xml:space="preserve"> </w:t>
      </w:r>
    </w:p>
    <w:p w14:paraId="44EFAA76" w14:textId="77777777" w:rsidR="00867034" w:rsidRPr="00867034" w:rsidRDefault="00867034" w:rsidP="00867034">
      <w:pPr>
        <w:widowControl w:val="0"/>
        <w:autoSpaceDE w:val="0"/>
        <w:autoSpaceDN w:val="0"/>
        <w:spacing w:line="360" w:lineRule="auto"/>
        <w:rPr>
          <w:rFonts w:ascii="Arial" w:eastAsia="Arial" w:hAnsi="Arial" w:cs="Arial"/>
          <w:b/>
          <w:lang w:val="es-MX"/>
        </w:rPr>
      </w:pPr>
    </w:p>
    <w:p w14:paraId="396B3D38" w14:textId="18896713" w:rsidR="00867034" w:rsidRPr="00867034" w:rsidRDefault="001E683C" w:rsidP="00867034">
      <w:pPr>
        <w:widowControl w:val="0"/>
        <w:autoSpaceDE w:val="0"/>
        <w:autoSpaceDN w:val="0"/>
        <w:spacing w:line="360" w:lineRule="auto"/>
        <w:rPr>
          <w:rFonts w:ascii="Arial" w:eastAsia="Arial" w:hAnsi="Arial" w:cs="Arial"/>
          <w:lang w:val="es-MX"/>
        </w:rPr>
      </w:pPr>
      <w:r w:rsidRPr="000A2EA2">
        <w:rPr>
          <w:rFonts w:ascii="Arial" w:eastAsia="Arial" w:hAnsi="Arial" w:cs="Arial"/>
          <w:b/>
          <w:lang w:val="es-MX"/>
        </w:rPr>
        <w:t>Artículo Segundo.</w:t>
      </w:r>
      <w:r w:rsidR="00867034" w:rsidRPr="00867034">
        <w:rPr>
          <w:rFonts w:ascii="Arial" w:eastAsia="Arial" w:hAnsi="Arial" w:cs="Arial"/>
          <w:b/>
          <w:lang w:val="es-MX"/>
        </w:rPr>
        <w:t xml:space="preserve"> </w:t>
      </w:r>
      <w:r w:rsidR="00867034" w:rsidRPr="00867034">
        <w:rPr>
          <w:rFonts w:ascii="Arial" w:eastAsia="Arial" w:hAnsi="Arial" w:cs="Arial"/>
          <w:lang w:val="es-MX"/>
        </w:rPr>
        <w:t>Las Leyes de Hacienda a que se refiere el artículo anterior, se describen en cada una de las fracciones siguientes:</w:t>
      </w:r>
    </w:p>
    <w:p w14:paraId="625D73C8" w14:textId="77777777" w:rsidR="00867034" w:rsidRDefault="00867034" w:rsidP="00697E94">
      <w:pPr>
        <w:spacing w:line="360" w:lineRule="auto"/>
        <w:jc w:val="center"/>
        <w:rPr>
          <w:rFonts w:ascii="Arial" w:hAnsi="Arial" w:cs="Arial"/>
          <w:b/>
          <w:lang w:val="es-MX"/>
        </w:rPr>
      </w:pPr>
    </w:p>
    <w:p w14:paraId="32245F80" w14:textId="77777777" w:rsidR="00553A55" w:rsidRPr="00553A55" w:rsidRDefault="00553A55" w:rsidP="00553A55">
      <w:pPr>
        <w:spacing w:line="360" w:lineRule="auto"/>
        <w:jc w:val="both"/>
        <w:rPr>
          <w:rFonts w:ascii="Arial" w:eastAsia="Calibri" w:hAnsi="Arial" w:cs="Arial"/>
          <w:b/>
          <w:lang w:val="es-MX"/>
        </w:rPr>
      </w:pPr>
      <w:r w:rsidRPr="00553A55">
        <w:rPr>
          <w:rFonts w:ascii="Arial" w:eastAsia="Calibri" w:hAnsi="Arial" w:cs="Arial"/>
          <w:b/>
          <w:lang w:val="es-MX"/>
        </w:rPr>
        <w:t>II.- LEY DE HACIENDA DEL MUNICIPIO DE HUNUCMÁ, YUCATÁN.</w:t>
      </w:r>
    </w:p>
    <w:p w14:paraId="38709023" w14:textId="77777777" w:rsidR="00553A55" w:rsidRPr="00553A55" w:rsidRDefault="00553A55" w:rsidP="00553A55">
      <w:pPr>
        <w:spacing w:line="360" w:lineRule="auto"/>
        <w:jc w:val="center"/>
        <w:rPr>
          <w:rFonts w:ascii="Arial" w:eastAsia="Calibri" w:hAnsi="Arial" w:cs="Arial"/>
          <w:b/>
          <w:lang w:val="es-MX"/>
        </w:rPr>
      </w:pPr>
    </w:p>
    <w:p w14:paraId="51565200"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 xml:space="preserve">TÍTULO PRIMERO </w:t>
      </w:r>
    </w:p>
    <w:p w14:paraId="7794A82F"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DISPOSICIONES GENERALES</w:t>
      </w:r>
    </w:p>
    <w:p w14:paraId="1D04F947" w14:textId="77777777" w:rsidR="00553A55" w:rsidRPr="00553A55" w:rsidRDefault="00553A55" w:rsidP="00553A55">
      <w:pPr>
        <w:spacing w:line="360" w:lineRule="auto"/>
        <w:jc w:val="center"/>
        <w:rPr>
          <w:rFonts w:ascii="Arial" w:eastAsia="Calibri" w:hAnsi="Arial" w:cs="Arial"/>
          <w:b/>
          <w:lang w:val="es-MX"/>
        </w:rPr>
      </w:pPr>
    </w:p>
    <w:p w14:paraId="62DBE957"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CAPITULO I</w:t>
      </w:r>
    </w:p>
    <w:p w14:paraId="29939290"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los Ingresos Municipales</w:t>
      </w:r>
    </w:p>
    <w:p w14:paraId="1D6A5DA1" w14:textId="77777777" w:rsidR="00553A55" w:rsidRPr="00553A55" w:rsidRDefault="00553A55" w:rsidP="00553A55">
      <w:pPr>
        <w:spacing w:line="360" w:lineRule="auto"/>
        <w:jc w:val="center"/>
        <w:rPr>
          <w:rFonts w:ascii="Arial" w:eastAsia="Calibri" w:hAnsi="Arial" w:cs="Arial"/>
          <w:b/>
          <w:lang w:val="es-MX"/>
        </w:rPr>
      </w:pPr>
    </w:p>
    <w:p w14:paraId="1496AFA0"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 </w:t>
      </w:r>
      <w:r w:rsidRPr="00553A55">
        <w:rPr>
          <w:rFonts w:ascii="Arial" w:eastAsia="Calibri" w:hAnsi="Arial" w:cs="Arial"/>
          <w:b/>
          <w:lang w:val="es-MX"/>
        </w:rPr>
        <w:t>Articulo 1.-</w:t>
      </w:r>
      <w:r w:rsidRPr="00553A55">
        <w:rPr>
          <w:rFonts w:ascii="Arial" w:eastAsia="Calibri" w:hAnsi="Arial" w:cs="Arial"/>
          <w:lang w:val="es-MX"/>
        </w:rPr>
        <w:t xml:space="preserve"> El Ayuntamiento de Hunucmá, Yucatán en su carácter de autónomo,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w:t>
      </w:r>
    </w:p>
    <w:p w14:paraId="73DC4133" w14:textId="77777777" w:rsidR="00553A55" w:rsidRPr="00553A55" w:rsidRDefault="00553A55" w:rsidP="00553A55">
      <w:pPr>
        <w:spacing w:line="360" w:lineRule="auto"/>
        <w:jc w:val="both"/>
        <w:rPr>
          <w:rFonts w:ascii="Arial" w:eastAsia="Calibri" w:hAnsi="Arial" w:cs="Arial"/>
          <w:lang w:val="es-MX"/>
        </w:rPr>
      </w:pPr>
    </w:p>
    <w:p w14:paraId="63BE2495"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2.-</w:t>
      </w:r>
      <w:r w:rsidRPr="00553A55">
        <w:rPr>
          <w:rFonts w:ascii="Arial" w:eastAsia="Calibri" w:hAnsi="Arial" w:cs="Arial"/>
          <w:lang w:val="es-MX"/>
        </w:rPr>
        <w:t xml:space="preserve"> Son disposiciones fiscales municipales:</w:t>
      </w:r>
    </w:p>
    <w:p w14:paraId="108E4711" w14:textId="77777777" w:rsidR="00553A55" w:rsidRPr="00553A55" w:rsidRDefault="00553A55" w:rsidP="00553A55">
      <w:pPr>
        <w:spacing w:line="360" w:lineRule="auto"/>
        <w:contextualSpacing/>
        <w:jc w:val="both"/>
        <w:rPr>
          <w:rFonts w:ascii="Arial" w:eastAsia="Calibri" w:hAnsi="Arial" w:cs="Arial"/>
          <w:lang w:val="es-MX"/>
        </w:rPr>
      </w:pPr>
    </w:p>
    <w:p w14:paraId="3D490FF9"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 xml:space="preserve">La presente Ley de Hacienda; </w:t>
      </w:r>
    </w:p>
    <w:p w14:paraId="36F69129"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 xml:space="preserve">La Ley de Ingresos del Municipio de Hunucmá, Yucatán; </w:t>
      </w:r>
    </w:p>
    <w:p w14:paraId="2C2B933C"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Las disposiciones que autoricen ingresos extraordinarios, y</w:t>
      </w:r>
    </w:p>
    <w:p w14:paraId="1EBC2743"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 xml:space="preserve">Los reglamentos municipales y las demás leyes que contengan disposiciones de carácter hacendario. </w:t>
      </w:r>
    </w:p>
    <w:p w14:paraId="333AED3D" w14:textId="77777777" w:rsidR="00553A55" w:rsidRPr="00553A55" w:rsidRDefault="00553A55" w:rsidP="00553A55">
      <w:pPr>
        <w:spacing w:line="360" w:lineRule="auto"/>
        <w:jc w:val="both"/>
        <w:rPr>
          <w:rFonts w:ascii="Arial" w:eastAsia="Calibri" w:hAnsi="Arial" w:cs="Arial"/>
          <w:b/>
          <w:lang w:val="es-MX"/>
        </w:rPr>
      </w:pPr>
    </w:p>
    <w:p w14:paraId="76AC03F7"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Articulo 3.-</w:t>
      </w:r>
      <w:r w:rsidRPr="00553A55">
        <w:rPr>
          <w:rFonts w:ascii="Arial" w:eastAsia="Calibri" w:hAnsi="Arial" w:cs="Arial"/>
          <w:lang w:val="es-MX"/>
        </w:rPr>
        <w:t xml:space="preserve"> La Ley de Ingresos del Municipio de Hunucmá, Yucatán, será publicada en el Diario Oficial del Gobierno del Estado a más tardar el treinta y uno de diciembre de cada año y entrará en vigor a partir del primero de enero del año siguiente.</w:t>
      </w:r>
    </w:p>
    <w:p w14:paraId="40210D85" w14:textId="77777777" w:rsidR="00553A55" w:rsidRPr="00553A55" w:rsidRDefault="00553A55" w:rsidP="00553A55">
      <w:pPr>
        <w:spacing w:line="360" w:lineRule="auto"/>
        <w:jc w:val="both"/>
        <w:rPr>
          <w:rFonts w:ascii="Arial" w:eastAsia="Calibri" w:hAnsi="Arial" w:cs="Arial"/>
          <w:lang w:val="es-MX"/>
        </w:rPr>
      </w:pPr>
    </w:p>
    <w:p w14:paraId="4F108BA5"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4.-</w:t>
      </w:r>
      <w:r w:rsidRPr="00553A55">
        <w:rPr>
          <w:rFonts w:ascii="Arial" w:eastAsia="Calibri" w:hAnsi="Arial" w:cs="Arial"/>
          <w:lang w:val="es-MX"/>
        </w:rPr>
        <w:t xml:space="preserve"> Cualquier disposición dictada o convenio celebrado por autoridad fiscal competente, se sujetará a la presente Ley; en caso contrario, carecerá de valor y será nulo de pleno derecho. A falta de norma fiscal expresa se aplicarán supletoriamente el Código Fiscal del Estado y las otras disposiciones fiscales y demás normas legales del Estado de Yucatán, en cuanto sean aplicables y siempre que su aplicación no sea contraria a la naturaleza propia del derecho fiscal.</w:t>
      </w:r>
    </w:p>
    <w:p w14:paraId="0C7E65FA" w14:textId="77777777" w:rsidR="00553A55" w:rsidRPr="00553A55" w:rsidRDefault="00553A55" w:rsidP="00553A55">
      <w:pPr>
        <w:spacing w:line="360" w:lineRule="auto"/>
        <w:jc w:val="center"/>
        <w:rPr>
          <w:rFonts w:ascii="Arial" w:eastAsia="Calibri" w:hAnsi="Arial" w:cs="Arial"/>
          <w:b/>
          <w:lang w:val="es-MX"/>
        </w:rPr>
      </w:pPr>
    </w:p>
    <w:p w14:paraId="681ADDC4"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las Autoridades Fiscales</w:t>
      </w:r>
    </w:p>
    <w:p w14:paraId="69BAA003" w14:textId="77777777" w:rsidR="00553A55" w:rsidRPr="00553A55" w:rsidRDefault="00553A55" w:rsidP="00553A55">
      <w:pPr>
        <w:spacing w:line="360" w:lineRule="auto"/>
        <w:jc w:val="center"/>
        <w:rPr>
          <w:rFonts w:ascii="Arial" w:eastAsia="Calibri" w:hAnsi="Arial" w:cs="Arial"/>
          <w:b/>
          <w:lang w:val="es-MX"/>
        </w:rPr>
      </w:pPr>
    </w:p>
    <w:p w14:paraId="37997DF0"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 xml:space="preserve">Artículo 5.- </w:t>
      </w:r>
      <w:r w:rsidRPr="00553A55">
        <w:rPr>
          <w:rFonts w:ascii="Arial" w:eastAsia="Calibri" w:hAnsi="Arial" w:cs="Arial"/>
          <w:lang w:val="es-MX"/>
        </w:rPr>
        <w:t xml:space="preserve">Para los efectos de la presente ley, son autoridades fiscales: </w:t>
      </w:r>
    </w:p>
    <w:p w14:paraId="16813AC7" w14:textId="77777777" w:rsidR="00553A55" w:rsidRPr="00553A55" w:rsidRDefault="00553A55" w:rsidP="00553A55">
      <w:pPr>
        <w:spacing w:line="360" w:lineRule="auto"/>
        <w:jc w:val="both"/>
        <w:rPr>
          <w:rFonts w:ascii="Arial" w:eastAsia="Calibri" w:hAnsi="Arial" w:cs="Arial"/>
          <w:lang w:val="es-MX"/>
        </w:rPr>
      </w:pPr>
    </w:p>
    <w:p w14:paraId="76B8AEEB" w14:textId="77777777" w:rsidR="00553A55" w:rsidRPr="00553A55" w:rsidRDefault="00553A55" w:rsidP="00553A55">
      <w:pPr>
        <w:spacing w:line="360" w:lineRule="auto"/>
        <w:ind w:firstLine="284"/>
        <w:jc w:val="both"/>
        <w:rPr>
          <w:rFonts w:ascii="Arial" w:eastAsia="Calibri" w:hAnsi="Arial" w:cs="Arial"/>
          <w:lang w:val="es-MX"/>
        </w:rPr>
      </w:pPr>
      <w:r w:rsidRPr="00553A55">
        <w:rPr>
          <w:rFonts w:ascii="Arial" w:eastAsia="Calibri" w:hAnsi="Arial" w:cs="Arial"/>
          <w:b/>
          <w:lang w:val="es-MX"/>
        </w:rPr>
        <w:t xml:space="preserve">a) </w:t>
      </w:r>
      <w:r w:rsidRPr="00553A55">
        <w:rPr>
          <w:rFonts w:ascii="Arial" w:eastAsia="Calibri" w:hAnsi="Arial" w:cs="Arial"/>
          <w:lang w:val="es-MX"/>
        </w:rPr>
        <w:t xml:space="preserve">El Cabildo. </w:t>
      </w:r>
    </w:p>
    <w:p w14:paraId="261B6A47" w14:textId="77777777" w:rsidR="00553A55" w:rsidRPr="00553A55" w:rsidRDefault="00553A55" w:rsidP="00553A55">
      <w:pPr>
        <w:spacing w:line="360" w:lineRule="auto"/>
        <w:ind w:firstLine="284"/>
        <w:contextualSpacing/>
        <w:jc w:val="both"/>
        <w:rPr>
          <w:rFonts w:ascii="Arial" w:eastAsia="Calibri" w:hAnsi="Arial" w:cs="Arial"/>
          <w:lang w:val="es-MX"/>
        </w:rPr>
      </w:pPr>
      <w:r w:rsidRPr="00553A55">
        <w:rPr>
          <w:rFonts w:ascii="Arial" w:eastAsia="Calibri" w:hAnsi="Arial" w:cs="Arial"/>
          <w:b/>
          <w:lang w:val="es-MX"/>
        </w:rPr>
        <w:t xml:space="preserve">b) </w:t>
      </w:r>
      <w:r w:rsidRPr="00553A55">
        <w:rPr>
          <w:rFonts w:ascii="Arial" w:eastAsia="Calibri" w:hAnsi="Arial" w:cs="Arial"/>
          <w:lang w:val="es-MX"/>
        </w:rPr>
        <w:t>El Presidente Municipal de Hunucmá, Yucatán.</w:t>
      </w:r>
    </w:p>
    <w:p w14:paraId="04C8F7D8" w14:textId="77777777" w:rsidR="00553A55" w:rsidRPr="00553A55" w:rsidRDefault="00553A55" w:rsidP="00553A55">
      <w:pPr>
        <w:spacing w:line="360" w:lineRule="auto"/>
        <w:ind w:firstLine="284"/>
        <w:contextualSpacing/>
        <w:jc w:val="both"/>
        <w:rPr>
          <w:rFonts w:ascii="Arial" w:eastAsia="Calibri" w:hAnsi="Arial" w:cs="Arial"/>
          <w:lang w:val="es-MX"/>
        </w:rPr>
      </w:pPr>
      <w:r w:rsidRPr="00553A55">
        <w:rPr>
          <w:rFonts w:ascii="Arial" w:eastAsia="Calibri" w:hAnsi="Arial" w:cs="Arial"/>
          <w:b/>
          <w:lang w:val="es-MX"/>
        </w:rPr>
        <w:t xml:space="preserve">c) </w:t>
      </w:r>
      <w:r w:rsidRPr="00553A55">
        <w:rPr>
          <w:rFonts w:ascii="Arial" w:eastAsia="Calibri" w:hAnsi="Arial" w:cs="Arial"/>
          <w:lang w:val="es-MX"/>
        </w:rPr>
        <w:t xml:space="preserve">El Síndico. </w:t>
      </w:r>
    </w:p>
    <w:p w14:paraId="2CD8C8FA" w14:textId="77777777" w:rsidR="00553A55" w:rsidRPr="00553A55" w:rsidRDefault="00553A55" w:rsidP="00553A55">
      <w:pPr>
        <w:spacing w:line="360" w:lineRule="auto"/>
        <w:ind w:firstLine="284"/>
        <w:contextualSpacing/>
        <w:jc w:val="both"/>
        <w:rPr>
          <w:rFonts w:ascii="Arial" w:eastAsia="Calibri" w:hAnsi="Arial" w:cs="Arial"/>
          <w:lang w:val="es-MX"/>
        </w:rPr>
      </w:pPr>
      <w:r w:rsidRPr="00553A55">
        <w:rPr>
          <w:rFonts w:ascii="Arial" w:eastAsia="Calibri" w:hAnsi="Arial" w:cs="Arial"/>
          <w:b/>
          <w:lang w:val="es-MX"/>
        </w:rPr>
        <w:t xml:space="preserve">d) </w:t>
      </w:r>
      <w:r w:rsidRPr="00553A55">
        <w:rPr>
          <w:rFonts w:ascii="Arial" w:eastAsia="Calibri" w:hAnsi="Arial" w:cs="Arial"/>
          <w:lang w:val="es-MX"/>
        </w:rPr>
        <w:t>El Tesorero Municipal, y</w:t>
      </w:r>
    </w:p>
    <w:p w14:paraId="13A2D871" w14:textId="77777777" w:rsidR="00553A55" w:rsidRPr="00553A55" w:rsidRDefault="00553A55" w:rsidP="00553A55">
      <w:pPr>
        <w:spacing w:line="360" w:lineRule="auto"/>
        <w:ind w:firstLine="284"/>
        <w:contextualSpacing/>
        <w:jc w:val="both"/>
        <w:rPr>
          <w:rFonts w:ascii="Arial" w:eastAsia="Calibri" w:hAnsi="Arial" w:cs="Arial"/>
          <w:lang w:val="es-MX"/>
        </w:rPr>
      </w:pPr>
      <w:r w:rsidRPr="00553A55">
        <w:rPr>
          <w:rFonts w:ascii="Arial" w:eastAsia="Calibri" w:hAnsi="Arial" w:cs="Arial"/>
          <w:b/>
          <w:lang w:val="es-MX"/>
        </w:rPr>
        <w:t xml:space="preserve">e) </w:t>
      </w:r>
      <w:r w:rsidRPr="00553A55">
        <w:rPr>
          <w:rFonts w:ascii="Arial" w:eastAsia="Calibri" w:hAnsi="Arial" w:cs="Arial"/>
          <w:lang w:val="es-MX"/>
        </w:rPr>
        <w:t xml:space="preserve">Las demás que establezca esta Ley. </w:t>
      </w:r>
    </w:p>
    <w:p w14:paraId="695634AD" w14:textId="77777777" w:rsidR="00553A55" w:rsidRPr="00553A55" w:rsidRDefault="00553A55" w:rsidP="00553A55">
      <w:pPr>
        <w:spacing w:line="360" w:lineRule="auto"/>
        <w:jc w:val="both"/>
        <w:rPr>
          <w:rFonts w:ascii="Arial" w:eastAsia="Calibri" w:hAnsi="Arial" w:cs="Arial"/>
          <w:lang w:val="es-MX"/>
        </w:rPr>
      </w:pPr>
    </w:p>
    <w:p w14:paraId="2B2FB195"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Corresponde al Tesorero Municipal, determinar, liquidar y recaudar los ingresos municipales y ejercer, en su caso, la facultad económico-coactiva. </w:t>
      </w:r>
    </w:p>
    <w:p w14:paraId="5FBC67B6" w14:textId="77777777" w:rsidR="00553A55" w:rsidRPr="00553A55" w:rsidRDefault="00553A55" w:rsidP="00553A55">
      <w:pPr>
        <w:spacing w:line="360" w:lineRule="auto"/>
        <w:jc w:val="both"/>
        <w:rPr>
          <w:rFonts w:ascii="Arial" w:eastAsia="Calibri" w:hAnsi="Arial" w:cs="Arial"/>
          <w:lang w:val="es-MX"/>
        </w:rPr>
      </w:pPr>
    </w:p>
    <w:p w14:paraId="59E38F00"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El Presidente Municipal y el Tesorero serán directamente responsables de la administración de todos los recursos públicos municipales. </w:t>
      </w:r>
    </w:p>
    <w:p w14:paraId="09F1E3B2" w14:textId="77777777" w:rsidR="00553A55" w:rsidRPr="00553A55" w:rsidRDefault="00553A55" w:rsidP="00553A55">
      <w:pPr>
        <w:spacing w:line="360" w:lineRule="auto"/>
        <w:jc w:val="both"/>
        <w:rPr>
          <w:rFonts w:ascii="Arial" w:eastAsia="Calibri" w:hAnsi="Arial" w:cs="Arial"/>
          <w:lang w:val="es-MX"/>
        </w:rPr>
      </w:pPr>
    </w:p>
    <w:p w14:paraId="1FB8DE56"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6.-</w:t>
      </w:r>
      <w:r w:rsidRPr="00553A55">
        <w:rPr>
          <w:rFonts w:ascii="Arial" w:eastAsia="Calibri" w:hAnsi="Arial" w:cs="Arial"/>
          <w:lang w:val="es-MX"/>
        </w:rPr>
        <w:t xml:space="preserve"> El Tesorero es el titular de las oficinas fiscales y hacendarias del Municipio. Son facultades del Tesorero: </w:t>
      </w:r>
    </w:p>
    <w:p w14:paraId="12364556" w14:textId="77777777" w:rsidR="00553A55" w:rsidRPr="00553A55" w:rsidRDefault="00553A55" w:rsidP="00553A55">
      <w:pPr>
        <w:spacing w:line="360" w:lineRule="auto"/>
        <w:jc w:val="both"/>
        <w:rPr>
          <w:rFonts w:ascii="Arial" w:eastAsia="Calibri" w:hAnsi="Arial" w:cs="Arial"/>
          <w:lang w:val="es-MX"/>
        </w:rPr>
      </w:pPr>
    </w:p>
    <w:p w14:paraId="470EC1A5"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 xml:space="preserve">Dirigir las labores de la tesorería y vigilar que los empleados cumplan con sus obligaciones; </w:t>
      </w:r>
    </w:p>
    <w:p w14:paraId="1C27A2C5"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 xml:space="preserve">Proponer al Presidente Municipal el nombramiento o remoción de los demás funcionarios y empleados de la tesorería; </w:t>
      </w:r>
    </w:p>
    <w:p w14:paraId="379C3283"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Intervenir en la elaboración de los proyectos de ley, reglamentos y demás disposiciones administrativas relacionadas con el manejo de la Hacienda Municipal;</w:t>
      </w:r>
    </w:p>
    <w:p w14:paraId="7E4AA859"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Elaborar el programa financiero anual;</w:t>
      </w:r>
    </w:p>
    <w:p w14:paraId="11295998"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 </w:t>
      </w:r>
      <w:r w:rsidRPr="00553A55">
        <w:rPr>
          <w:rFonts w:ascii="Arial" w:eastAsia="Calibri" w:hAnsi="Arial" w:cs="Arial"/>
          <w:lang w:val="es-MX"/>
        </w:rPr>
        <w:t xml:space="preserve">Proponer al Cabildo las políticas generales de ingreso y gasto público y la cancelación de las cuentas incobrables, previo informe justificado que demuestre la imposibilidad material o jurídica de su cobro; </w:t>
      </w:r>
    </w:p>
    <w:p w14:paraId="7A5EC80C"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 </w:t>
      </w:r>
      <w:r w:rsidRPr="00553A55">
        <w:rPr>
          <w:rFonts w:ascii="Arial" w:eastAsia="Calibri" w:hAnsi="Arial" w:cs="Arial"/>
          <w:lang w:val="es-MX"/>
        </w:rPr>
        <w:t>Intervenir en la formulación de convenios de coordinación fiscal con el Gobierno del Estado y ejercer las funciones que le corresponda en el ámbito de su competencia;</w:t>
      </w:r>
    </w:p>
    <w:p w14:paraId="212D7E88"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 </w:t>
      </w:r>
      <w:r w:rsidRPr="00553A55">
        <w:rPr>
          <w:rFonts w:ascii="Arial" w:eastAsia="Calibri" w:hAnsi="Arial" w:cs="Arial"/>
          <w:lang w:val="es-MX"/>
        </w:rPr>
        <w:t>Vigilar el cumplimiento de las disposiciones fiscales;</w:t>
      </w:r>
    </w:p>
    <w:p w14:paraId="695BD8C8"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VIII. </w:t>
      </w:r>
      <w:r w:rsidRPr="00553A55">
        <w:rPr>
          <w:rFonts w:ascii="Arial" w:eastAsia="Calibri" w:hAnsi="Arial" w:cs="Arial"/>
          <w:lang w:val="es-MX"/>
        </w:rPr>
        <w:t xml:space="preserve">Ejercer la facultad económico-coactiva por sí o a través de los funcionarios que el Cabildo determine, mediante el procedimiento administrativo de ejecución, que establece el Código Fiscal del Estado de Yucatán; </w:t>
      </w:r>
    </w:p>
    <w:p w14:paraId="03986566"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IX. </w:t>
      </w:r>
      <w:r w:rsidRPr="00553A55">
        <w:rPr>
          <w:rFonts w:ascii="Arial" w:eastAsia="Calibri" w:hAnsi="Arial" w:cs="Arial"/>
          <w:lang w:val="es-MX"/>
        </w:rPr>
        <w:t xml:space="preserve">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0876AD62"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 </w:t>
      </w:r>
      <w:r w:rsidRPr="00553A55">
        <w:rPr>
          <w:rFonts w:ascii="Arial" w:eastAsia="Calibri" w:hAnsi="Arial" w:cs="Arial"/>
          <w:lang w:val="es-MX"/>
        </w:rPr>
        <w:t xml:space="preserve">Administrar las participaciones y aportaciones federales y estatales y demás recursos públicos; </w:t>
      </w:r>
    </w:p>
    <w:p w14:paraId="4BE64C56"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XI. </w:t>
      </w:r>
      <w:r w:rsidRPr="00553A55">
        <w:rPr>
          <w:rFonts w:ascii="Arial" w:eastAsia="Calibri" w:hAnsi="Arial" w:cs="Arial"/>
          <w:lang w:val="es-MX"/>
        </w:rPr>
        <w:t xml:space="preserve">Diseñar y aprobar las formas oficiales de manifestación, aviso, declaración y demás documentos relacionados con el fisco municipal; </w:t>
      </w:r>
    </w:p>
    <w:p w14:paraId="5D0B60DF"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XII. </w:t>
      </w:r>
      <w:r w:rsidRPr="00553A55">
        <w:rPr>
          <w:rFonts w:ascii="Arial" w:eastAsia="Calibri" w:hAnsi="Arial" w:cs="Arial"/>
          <w:lang w:val="es-MX"/>
        </w:rPr>
        <w:t xml:space="preserve">Ordenar y practicar visitas domiciliarias, así como los demás actos y procedimientos que establezcan las disposiciones fiscales y el Código Fiscal del Estado de Yucatán, para la comprobación del cumplimiento de las obligaciones de los contribuyentes; </w:t>
      </w:r>
    </w:p>
    <w:p w14:paraId="18903EDB"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XIII. </w:t>
      </w:r>
      <w:r w:rsidRPr="00553A55">
        <w:rPr>
          <w:rFonts w:ascii="Arial" w:eastAsia="Calibri" w:hAnsi="Arial" w:cs="Arial"/>
          <w:lang w:val="es-MX"/>
        </w:rPr>
        <w:t xml:space="preserve">Imponer las sanciones por infracción a las disposiciones fiscales y cobrar las impuestas por los Jueces Calificadores o autoridades competentes, y </w:t>
      </w:r>
    </w:p>
    <w:p w14:paraId="70C803FD"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XIV. </w:t>
      </w:r>
      <w:r w:rsidRPr="00553A55">
        <w:rPr>
          <w:rFonts w:ascii="Arial" w:eastAsia="Calibri" w:hAnsi="Arial" w:cs="Arial"/>
          <w:lang w:val="es-MX"/>
        </w:rPr>
        <w:t xml:space="preserve">Las demás que le otorguen las leyes respectivas. </w:t>
      </w:r>
    </w:p>
    <w:p w14:paraId="444DF619" w14:textId="77777777" w:rsidR="00553A55" w:rsidRPr="00553A55" w:rsidRDefault="00553A55" w:rsidP="00553A55">
      <w:pPr>
        <w:spacing w:line="360" w:lineRule="auto"/>
        <w:contextualSpacing/>
        <w:jc w:val="both"/>
        <w:rPr>
          <w:rFonts w:ascii="Arial" w:eastAsia="Calibri" w:hAnsi="Arial" w:cs="Arial"/>
          <w:lang w:val="es-MX"/>
        </w:rPr>
      </w:pPr>
    </w:p>
    <w:p w14:paraId="7DE6FA37"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Son obligaciones del Tesorero: </w:t>
      </w:r>
    </w:p>
    <w:p w14:paraId="211A07B8" w14:textId="77777777" w:rsidR="00553A55" w:rsidRPr="00553A55" w:rsidRDefault="00553A55" w:rsidP="00553A55">
      <w:pPr>
        <w:spacing w:line="360" w:lineRule="auto"/>
        <w:contextualSpacing/>
        <w:jc w:val="both"/>
        <w:rPr>
          <w:rFonts w:ascii="Arial" w:eastAsia="Calibri" w:hAnsi="Arial" w:cs="Arial"/>
          <w:b/>
          <w:lang w:val="es-MX"/>
        </w:rPr>
      </w:pPr>
      <w:r w:rsidRPr="00553A55">
        <w:rPr>
          <w:rFonts w:ascii="Arial" w:eastAsia="Calibri" w:hAnsi="Arial" w:cs="Arial"/>
          <w:b/>
          <w:lang w:val="es-MX"/>
        </w:rPr>
        <w:t xml:space="preserve">I. </w:t>
      </w:r>
      <w:r w:rsidRPr="00553A55">
        <w:rPr>
          <w:rFonts w:ascii="Arial" w:eastAsia="Calibri" w:hAnsi="Arial" w:cs="Arial"/>
          <w:lang w:val="es-MX"/>
        </w:rPr>
        <w:t xml:space="preserve">Efectuar los pagos de acuerdo con el Presupuesto de Egresos; </w:t>
      </w:r>
    </w:p>
    <w:p w14:paraId="7EA6DB82" w14:textId="77777777" w:rsidR="00553A55" w:rsidRPr="00553A55" w:rsidRDefault="00553A55" w:rsidP="00553A55">
      <w:pPr>
        <w:spacing w:line="360" w:lineRule="auto"/>
        <w:contextualSpacing/>
        <w:jc w:val="both"/>
        <w:rPr>
          <w:rFonts w:ascii="Arial" w:eastAsia="Calibri" w:hAnsi="Arial" w:cs="Arial"/>
          <w:b/>
          <w:lang w:val="es-MX"/>
        </w:rPr>
      </w:pPr>
      <w:r w:rsidRPr="00553A55">
        <w:rPr>
          <w:rFonts w:ascii="Arial" w:eastAsia="Calibri" w:hAnsi="Arial" w:cs="Arial"/>
          <w:b/>
          <w:lang w:val="es-MX"/>
        </w:rPr>
        <w:t xml:space="preserve">II. </w:t>
      </w:r>
      <w:r w:rsidRPr="00553A55">
        <w:rPr>
          <w:rFonts w:ascii="Arial" w:eastAsia="Calibri" w:hAnsi="Arial" w:cs="Arial"/>
          <w:lang w:val="es-MX"/>
        </w:rPr>
        <w:t xml:space="preserve">Abstenerse de hacer pago alguno no autorizado; </w:t>
      </w:r>
    </w:p>
    <w:p w14:paraId="623FF6DF"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 xml:space="preserve">Llevar la contabilidad del Municipio, los registros contables, financieros y administrativos del ingreso, egresos e inventarios, de conformidad con lo previsto en la presente Ley; </w:t>
      </w:r>
    </w:p>
    <w:p w14:paraId="4AEEB189"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lastRenderedPageBreak/>
        <w:t xml:space="preserve">IV. </w:t>
      </w:r>
      <w:r w:rsidRPr="00553A55">
        <w:rPr>
          <w:rFonts w:ascii="Arial" w:eastAsia="Calibri" w:hAnsi="Arial" w:cs="Arial"/>
          <w:lang w:val="es-MX"/>
        </w:rPr>
        <w:t xml:space="preserve">Llevar un expediente por cada organismo paramunicipal o fideicomiso que se constituya, que se integrará con la escritura constitutiva y sus reformas, los poderes que se otorguen, las actas de asambleas, en su caso y el Estado financiero; </w:t>
      </w:r>
    </w:p>
    <w:p w14:paraId="421DBD85"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 </w:t>
      </w:r>
      <w:r w:rsidRPr="00553A55">
        <w:rPr>
          <w:rFonts w:ascii="Arial" w:eastAsia="Calibri" w:hAnsi="Arial" w:cs="Arial"/>
          <w:lang w:val="es-MX"/>
        </w:rPr>
        <w:t xml:space="preserve">Recaudar, administrar, custodiar, vigilar y situar los fondos municipales, así como los conceptos que deba percibir el Ayuntamiento; </w:t>
      </w:r>
    </w:p>
    <w:p w14:paraId="09FC6E9D"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 </w:t>
      </w:r>
      <w:r w:rsidRPr="00553A55">
        <w:rPr>
          <w:rFonts w:ascii="Arial" w:eastAsia="Calibri" w:hAnsi="Arial" w:cs="Arial"/>
          <w:lang w:val="es-MX"/>
        </w:rPr>
        <w:t xml:space="preserve">Formular mensualmente, a más tardar el día diez de cada mes, un estado financiero de los recursos y la Cuenta Pública del mes inmediato anterior y presentarlo a Cabildo, para su revisión y aprobación en su caso; </w:t>
      </w:r>
    </w:p>
    <w:p w14:paraId="342C219A"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 </w:t>
      </w:r>
      <w:r w:rsidRPr="00553A55">
        <w:rPr>
          <w:rFonts w:ascii="Arial" w:eastAsia="Calibri" w:hAnsi="Arial" w:cs="Arial"/>
          <w:lang w:val="es-MX"/>
        </w:rPr>
        <w:t>Elaborar y proponer para su aprobación el proyecto de Presupuesto de Egresos;</w:t>
      </w:r>
    </w:p>
    <w:p w14:paraId="1C11DD00"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VIII. </w:t>
      </w:r>
      <w:r w:rsidRPr="00553A55">
        <w:rPr>
          <w:rFonts w:ascii="Arial" w:eastAsia="Calibri" w:hAnsi="Arial" w:cs="Arial"/>
          <w:lang w:val="es-MX"/>
        </w:rPr>
        <w:t xml:space="preserve">Ejercer el Presupuesto de Egresos y cuidar que los gastos se apliquen de acuerdo con los programas aprobados; </w:t>
      </w:r>
    </w:p>
    <w:p w14:paraId="74580A7C"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IX </w:t>
      </w:r>
      <w:r w:rsidRPr="00553A55">
        <w:rPr>
          <w:rFonts w:ascii="Arial" w:eastAsia="Calibri" w:hAnsi="Arial" w:cs="Arial"/>
          <w:lang w:val="es-MX"/>
        </w:rPr>
        <w:t xml:space="preserve">Contestar oportunamente los pliegos de observaciones y acciones promovidas por la Auditoría Superior del Estado de Yucatán; </w:t>
      </w:r>
    </w:p>
    <w:p w14:paraId="70972DCE" w14:textId="77777777" w:rsidR="00553A55" w:rsidRPr="00553A55" w:rsidRDefault="00553A55" w:rsidP="00553A55">
      <w:pPr>
        <w:tabs>
          <w:tab w:val="left" w:pos="851"/>
        </w:tabs>
        <w:spacing w:line="360" w:lineRule="auto"/>
        <w:contextualSpacing/>
        <w:jc w:val="both"/>
        <w:rPr>
          <w:rFonts w:ascii="Arial" w:eastAsia="Calibri" w:hAnsi="Arial" w:cs="Arial"/>
          <w:lang w:val="es-MX"/>
        </w:rPr>
      </w:pPr>
      <w:r w:rsidRPr="00553A55">
        <w:rPr>
          <w:rFonts w:ascii="Arial" w:eastAsia="Calibri" w:hAnsi="Arial" w:cs="Arial"/>
          <w:b/>
          <w:lang w:val="es-MX"/>
        </w:rPr>
        <w:t xml:space="preserve">X. </w:t>
      </w:r>
      <w:r w:rsidRPr="00553A55">
        <w:rPr>
          <w:rFonts w:ascii="Arial" w:eastAsia="Calibri" w:hAnsi="Arial" w:cs="Arial"/>
          <w:lang w:val="es-MX"/>
        </w:rPr>
        <w:t xml:space="preserve">Elaborar y mantener actualizado el padrón de contribuyentes; </w:t>
      </w:r>
    </w:p>
    <w:p w14:paraId="72C5344A"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XI. </w:t>
      </w:r>
      <w:r w:rsidRPr="00553A55">
        <w:rPr>
          <w:rFonts w:ascii="Arial" w:eastAsia="Calibri" w:hAnsi="Arial" w:cs="Arial"/>
          <w:lang w:val="es-MX"/>
        </w:rPr>
        <w:t xml:space="preserve">Cuidar que los cobros se hagan con exactitud y oportunidad; </w:t>
      </w:r>
    </w:p>
    <w:p w14:paraId="1273EFD9"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XII. </w:t>
      </w:r>
      <w:r w:rsidRPr="00553A55">
        <w:rPr>
          <w:rFonts w:ascii="Arial" w:eastAsia="Calibri" w:hAnsi="Arial" w:cs="Arial"/>
          <w:lang w:val="es-MX"/>
        </w:rPr>
        <w:t>Proporcionar los informes que el Cabildo, el Presidente Municipal o el Síndico le solicite, y</w:t>
      </w:r>
    </w:p>
    <w:p w14:paraId="04C52024"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XIII. </w:t>
      </w:r>
      <w:r w:rsidRPr="00553A55">
        <w:rPr>
          <w:rFonts w:ascii="Arial" w:eastAsia="Calibri" w:hAnsi="Arial" w:cs="Arial"/>
          <w:lang w:val="es-MX"/>
        </w:rPr>
        <w:t xml:space="preserve">Las demás que expresamente le otorguen las leyes. </w:t>
      </w:r>
    </w:p>
    <w:p w14:paraId="196EC36C" w14:textId="77777777" w:rsidR="00553A55" w:rsidRPr="00553A55" w:rsidRDefault="00553A55" w:rsidP="00553A55">
      <w:pPr>
        <w:spacing w:line="360" w:lineRule="auto"/>
        <w:contextualSpacing/>
        <w:jc w:val="both"/>
        <w:rPr>
          <w:rFonts w:ascii="Arial" w:eastAsia="Calibri" w:hAnsi="Arial" w:cs="Arial"/>
          <w:lang w:val="es-MX"/>
        </w:rPr>
      </w:pPr>
    </w:p>
    <w:p w14:paraId="494BBE81"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CAPÍTULO II</w:t>
      </w:r>
    </w:p>
    <w:p w14:paraId="79D84482"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Recursos en contra de las resoluciones</w:t>
      </w:r>
    </w:p>
    <w:p w14:paraId="78C933C6" w14:textId="77777777" w:rsidR="00553A55" w:rsidRPr="00553A55" w:rsidRDefault="00553A55" w:rsidP="00553A55">
      <w:pPr>
        <w:spacing w:line="360" w:lineRule="auto"/>
        <w:jc w:val="center"/>
        <w:rPr>
          <w:rFonts w:ascii="Arial" w:eastAsia="Calibri" w:hAnsi="Arial" w:cs="Arial"/>
          <w:b/>
          <w:lang w:val="es-MX"/>
        </w:rPr>
      </w:pPr>
    </w:p>
    <w:p w14:paraId="59D41935"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 xml:space="preserve">Artículo 7.- </w:t>
      </w:r>
      <w:r w:rsidRPr="00553A55">
        <w:rPr>
          <w:rFonts w:ascii="Arial" w:eastAsia="Calibri" w:hAnsi="Arial" w:cs="Arial"/>
          <w:lang w:val="es-MX"/>
        </w:rPr>
        <w:t>Contra las resoluciones que dicten las autoridades fiscales municipales, serán admisibles los recursos establecidos en la Ley de Gobierno de los Municipios del Estado de Yucatán. 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14:paraId="38D7DDD9" w14:textId="77777777" w:rsidR="00553A55" w:rsidRPr="00553A55" w:rsidRDefault="00553A55" w:rsidP="00553A55">
      <w:pPr>
        <w:spacing w:line="360" w:lineRule="auto"/>
        <w:jc w:val="both"/>
        <w:rPr>
          <w:rFonts w:ascii="Arial" w:eastAsia="Calibri" w:hAnsi="Arial" w:cs="Arial"/>
          <w:lang w:val="es-MX"/>
        </w:rPr>
      </w:pPr>
    </w:p>
    <w:p w14:paraId="4C668E45" w14:textId="77777777" w:rsidR="00553A55" w:rsidRPr="00553A55" w:rsidRDefault="00553A55" w:rsidP="00553A55">
      <w:pPr>
        <w:spacing w:line="360" w:lineRule="auto"/>
        <w:jc w:val="both"/>
        <w:rPr>
          <w:rFonts w:ascii="Arial" w:eastAsia="Calibri" w:hAnsi="Arial" w:cs="Arial"/>
          <w:b/>
          <w:lang w:val="es-MX"/>
        </w:rPr>
      </w:pPr>
      <w:r w:rsidRPr="00553A55">
        <w:rPr>
          <w:rFonts w:ascii="Arial" w:eastAsia="Calibri" w:hAnsi="Arial" w:cs="Arial"/>
          <w:lang w:val="es-MX"/>
        </w:rPr>
        <w:t>En este caso, los recursos que se promuevan se tramitarán y resolverán en la forma prevista en dicho Código.</w:t>
      </w:r>
      <w:r w:rsidRPr="00553A55">
        <w:rPr>
          <w:rFonts w:ascii="Arial" w:eastAsia="Calibri" w:hAnsi="Arial" w:cs="Arial"/>
          <w:b/>
          <w:lang w:val="es-MX"/>
        </w:rPr>
        <w:t xml:space="preserve"> </w:t>
      </w:r>
    </w:p>
    <w:p w14:paraId="156CCF00" w14:textId="77777777" w:rsidR="00553A55" w:rsidRPr="00553A55" w:rsidRDefault="00553A55" w:rsidP="00553A55">
      <w:pPr>
        <w:spacing w:line="360" w:lineRule="auto"/>
        <w:jc w:val="both"/>
        <w:rPr>
          <w:rFonts w:ascii="Arial" w:eastAsia="Calibri" w:hAnsi="Arial" w:cs="Arial"/>
          <w:b/>
          <w:lang w:val="es-MX"/>
        </w:rPr>
      </w:pPr>
    </w:p>
    <w:p w14:paraId="0A4DF5FD"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 xml:space="preserve">Artículo 8.- </w:t>
      </w:r>
      <w:r w:rsidRPr="00553A55">
        <w:rPr>
          <w:rFonts w:ascii="Arial" w:eastAsia="Calibri" w:hAnsi="Arial" w:cs="Arial"/>
          <w:lang w:val="es-MX"/>
        </w:rPr>
        <w:t xml:space="preserve">La presente Ley establece las características generales que tendrán los ingresos de la Hacienda Pública del Municipio de Hunucmá, Yucatán, tales como objeto, sujeto, tasa o tarifa, base y excepciones. </w:t>
      </w:r>
    </w:p>
    <w:p w14:paraId="6BE2AD38" w14:textId="77777777" w:rsidR="00553A55" w:rsidRPr="00553A55" w:rsidRDefault="00553A55" w:rsidP="00553A55">
      <w:pPr>
        <w:spacing w:line="360" w:lineRule="auto"/>
        <w:jc w:val="both"/>
        <w:rPr>
          <w:rFonts w:ascii="Arial" w:eastAsia="Calibri" w:hAnsi="Arial" w:cs="Arial"/>
          <w:lang w:val="es-MX"/>
        </w:rPr>
      </w:pPr>
    </w:p>
    <w:p w14:paraId="721C3407"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lastRenderedPageBreak/>
        <w:t>De las Contribuciones</w:t>
      </w:r>
    </w:p>
    <w:p w14:paraId="3F04E5F5" w14:textId="77777777" w:rsidR="00553A55" w:rsidRPr="00553A55" w:rsidRDefault="00553A55" w:rsidP="00553A55">
      <w:pPr>
        <w:spacing w:line="360" w:lineRule="auto"/>
        <w:jc w:val="both"/>
        <w:rPr>
          <w:rFonts w:ascii="Arial" w:eastAsia="Calibri" w:hAnsi="Arial" w:cs="Arial"/>
          <w:b/>
          <w:lang w:val="es-MX"/>
        </w:rPr>
      </w:pPr>
    </w:p>
    <w:p w14:paraId="39F6B3C2"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 xml:space="preserve">Artículo 9.- </w:t>
      </w:r>
      <w:r w:rsidRPr="00553A55">
        <w:rPr>
          <w:rFonts w:ascii="Arial" w:eastAsia="Calibri" w:hAnsi="Arial" w:cs="Arial"/>
          <w:lang w:val="es-MX"/>
        </w:rPr>
        <w:t xml:space="preserve">Las contribuciones se clasifican en impuestos, derechos y contribuciones de mejoras. </w:t>
      </w:r>
    </w:p>
    <w:p w14:paraId="485AE574" w14:textId="77777777" w:rsidR="00553A55" w:rsidRPr="00553A55" w:rsidRDefault="00553A55" w:rsidP="00553A55">
      <w:pPr>
        <w:spacing w:line="360" w:lineRule="auto"/>
        <w:jc w:val="both"/>
        <w:rPr>
          <w:rFonts w:ascii="Arial" w:eastAsia="Calibri" w:hAnsi="Arial" w:cs="Arial"/>
          <w:lang w:val="es-MX"/>
        </w:rPr>
      </w:pPr>
    </w:p>
    <w:p w14:paraId="62217405"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Son impuestos las contribuciones establecidas en esta Ley que deben pagar las personas físicas y las morales que se encuentren en las situaciones jurídicas o de hecho, previstas por la misma y que sean distintas de las señaladas en las fracciones II y III de este artículo.</w:t>
      </w:r>
    </w:p>
    <w:p w14:paraId="386CDEB3" w14:textId="77777777" w:rsidR="00553A55" w:rsidRPr="00553A55" w:rsidRDefault="00553A55" w:rsidP="00553A55">
      <w:pPr>
        <w:spacing w:line="360" w:lineRule="auto"/>
        <w:contextualSpacing/>
        <w:jc w:val="both"/>
        <w:rPr>
          <w:rFonts w:ascii="Arial" w:eastAsia="Calibri" w:hAnsi="Arial" w:cs="Arial"/>
          <w:b/>
          <w:lang w:val="es-MX"/>
        </w:rPr>
      </w:pPr>
    </w:p>
    <w:p w14:paraId="43A84EAC"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14:paraId="2ADEE790" w14:textId="77777777" w:rsidR="00553A55" w:rsidRPr="00553A55" w:rsidRDefault="00553A55" w:rsidP="00553A55">
      <w:pPr>
        <w:spacing w:line="360" w:lineRule="auto"/>
        <w:contextualSpacing/>
        <w:jc w:val="both"/>
        <w:rPr>
          <w:rFonts w:ascii="Arial" w:eastAsia="Calibri" w:hAnsi="Arial" w:cs="Arial"/>
          <w:lang w:val="es-MX"/>
        </w:rPr>
      </w:pPr>
    </w:p>
    <w:p w14:paraId="4466594D"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 xml:space="preserve">Son contribuciones de mejoras las cantidades que la Hacienda Pública Municipal tiene derecho de percibir como aportación a los gastos que ocasionen la realización de obras de mejoramiento o la prestación de un servicio de interés general, emprendidos para el beneficio común. Los recargos de los créditos fiscales, las multas, las indemnizaciones y los gastos de ejecución derivadas de las contribuciones, son accesorios de estas y participan de su naturaleza. </w:t>
      </w:r>
    </w:p>
    <w:p w14:paraId="257CBE95" w14:textId="77777777" w:rsidR="00553A55" w:rsidRPr="00553A55" w:rsidRDefault="00553A55" w:rsidP="00553A55">
      <w:pPr>
        <w:spacing w:line="360" w:lineRule="auto"/>
        <w:contextualSpacing/>
        <w:jc w:val="both"/>
        <w:rPr>
          <w:rFonts w:ascii="Arial" w:eastAsia="Calibri" w:hAnsi="Arial" w:cs="Arial"/>
          <w:lang w:val="es-MX"/>
        </w:rPr>
      </w:pPr>
    </w:p>
    <w:p w14:paraId="3DA82B47"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los aprovechamientos</w:t>
      </w:r>
    </w:p>
    <w:p w14:paraId="779111C4" w14:textId="77777777" w:rsidR="00553A55" w:rsidRPr="00553A55" w:rsidRDefault="00553A55" w:rsidP="00553A55">
      <w:pPr>
        <w:spacing w:line="360" w:lineRule="auto"/>
        <w:jc w:val="center"/>
        <w:rPr>
          <w:rFonts w:ascii="Arial" w:eastAsia="Calibri" w:hAnsi="Arial" w:cs="Arial"/>
          <w:lang w:val="es-MX"/>
        </w:rPr>
      </w:pPr>
    </w:p>
    <w:p w14:paraId="13637747"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Articulo 10.-</w:t>
      </w:r>
      <w:r w:rsidRPr="00553A55">
        <w:rPr>
          <w:rFonts w:ascii="Arial" w:eastAsia="Calibri" w:hAnsi="Arial" w:cs="Arial"/>
          <w:lang w:val="es-MX"/>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 Los recargos, las multas, las indemnizaciones y los gastos de ejecución derivados de los aprovechamientos y son accesorios de éstos y participan de su naturaleza.</w:t>
      </w:r>
    </w:p>
    <w:p w14:paraId="69E3A7FF" w14:textId="77777777" w:rsidR="00553A55" w:rsidRDefault="00553A55" w:rsidP="00553A55">
      <w:pPr>
        <w:spacing w:line="360" w:lineRule="auto"/>
        <w:jc w:val="both"/>
        <w:rPr>
          <w:rFonts w:ascii="Arial" w:eastAsia="Calibri" w:hAnsi="Arial" w:cs="Arial"/>
          <w:lang w:val="es-MX"/>
        </w:rPr>
      </w:pPr>
    </w:p>
    <w:p w14:paraId="70C6631E" w14:textId="77777777" w:rsidR="00553A55" w:rsidRDefault="00553A55" w:rsidP="00553A55">
      <w:pPr>
        <w:spacing w:line="360" w:lineRule="auto"/>
        <w:jc w:val="both"/>
        <w:rPr>
          <w:rFonts w:ascii="Arial" w:eastAsia="Calibri" w:hAnsi="Arial" w:cs="Arial"/>
          <w:lang w:val="es-MX"/>
        </w:rPr>
      </w:pPr>
    </w:p>
    <w:p w14:paraId="05D561E0" w14:textId="77777777" w:rsidR="00553A55" w:rsidRDefault="00553A55" w:rsidP="00553A55">
      <w:pPr>
        <w:spacing w:line="360" w:lineRule="auto"/>
        <w:jc w:val="both"/>
        <w:rPr>
          <w:rFonts w:ascii="Arial" w:eastAsia="Calibri" w:hAnsi="Arial" w:cs="Arial"/>
          <w:lang w:val="es-MX"/>
        </w:rPr>
      </w:pPr>
    </w:p>
    <w:p w14:paraId="6618781C" w14:textId="77777777" w:rsidR="00553A55" w:rsidRPr="00553A55" w:rsidRDefault="00553A55" w:rsidP="00553A55">
      <w:pPr>
        <w:spacing w:line="360" w:lineRule="auto"/>
        <w:jc w:val="both"/>
        <w:rPr>
          <w:rFonts w:ascii="Arial" w:eastAsia="Calibri" w:hAnsi="Arial" w:cs="Arial"/>
          <w:lang w:val="es-MX"/>
        </w:rPr>
      </w:pPr>
    </w:p>
    <w:p w14:paraId="5DB0CD3B"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los productos</w:t>
      </w:r>
    </w:p>
    <w:p w14:paraId="62BE4A57" w14:textId="77777777" w:rsidR="00553A55" w:rsidRPr="00553A55" w:rsidRDefault="00553A55" w:rsidP="00553A55">
      <w:pPr>
        <w:spacing w:line="360" w:lineRule="auto"/>
        <w:jc w:val="center"/>
        <w:rPr>
          <w:rFonts w:ascii="Arial" w:eastAsia="Calibri" w:hAnsi="Arial" w:cs="Arial"/>
          <w:lang w:val="es-MX"/>
        </w:rPr>
      </w:pPr>
    </w:p>
    <w:p w14:paraId="3936D9C0"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Articulo 11.-</w:t>
      </w:r>
      <w:r w:rsidRPr="00553A55">
        <w:rPr>
          <w:rFonts w:ascii="Arial" w:eastAsia="Calibri" w:hAnsi="Arial" w:cs="Arial"/>
          <w:lang w:val="es-MX"/>
        </w:rPr>
        <w:t xml:space="preserve"> Son productos las contraprestaciones que recibe el Ayuntamiento por los servicios que presta en sus funciones de Derecho Privado, así como por el uso, aprovechamiento o enajenación de </w:t>
      </w:r>
      <w:r w:rsidRPr="00553A55">
        <w:rPr>
          <w:rFonts w:ascii="Arial" w:eastAsia="Calibri" w:hAnsi="Arial" w:cs="Arial"/>
          <w:lang w:val="es-MX"/>
        </w:rPr>
        <w:lastRenderedPageBreak/>
        <w:t xml:space="preserve">bienes del dominio privado del patrimonio municipal, y en general cualquier ingreso derivado de los bienes muebles e inmuebles propiedad del municipio en un uso distinto a la prestación de un servicio público. </w:t>
      </w:r>
    </w:p>
    <w:p w14:paraId="084C750B" w14:textId="77777777" w:rsidR="00553A55" w:rsidRPr="00553A55" w:rsidRDefault="00553A55" w:rsidP="00553A55">
      <w:pPr>
        <w:spacing w:line="360" w:lineRule="auto"/>
        <w:jc w:val="both"/>
        <w:rPr>
          <w:rFonts w:ascii="Arial" w:eastAsia="Calibri" w:hAnsi="Arial" w:cs="Arial"/>
          <w:lang w:val="es-MX"/>
        </w:rPr>
      </w:pPr>
    </w:p>
    <w:p w14:paraId="7832D5C0"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las Participaciones</w:t>
      </w:r>
    </w:p>
    <w:p w14:paraId="513F0DC7" w14:textId="77777777" w:rsidR="00553A55" w:rsidRPr="00553A55" w:rsidRDefault="00553A55" w:rsidP="00553A55">
      <w:pPr>
        <w:spacing w:line="360" w:lineRule="auto"/>
        <w:jc w:val="center"/>
        <w:rPr>
          <w:rFonts w:ascii="Arial" w:eastAsia="Calibri" w:hAnsi="Arial" w:cs="Arial"/>
          <w:lang w:val="es-MX"/>
        </w:rPr>
      </w:pPr>
    </w:p>
    <w:p w14:paraId="7B005BD6"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Articulo 12.-</w:t>
      </w:r>
      <w:r w:rsidRPr="00553A55">
        <w:rPr>
          <w:rFonts w:ascii="Arial" w:eastAsia="Calibri" w:hAnsi="Arial" w:cs="Arial"/>
          <w:lang w:val="es-MX"/>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57D02B0F" w14:textId="77777777" w:rsidR="00553A55" w:rsidRPr="00553A55" w:rsidRDefault="00553A55" w:rsidP="00553A55">
      <w:pPr>
        <w:spacing w:line="360" w:lineRule="auto"/>
        <w:jc w:val="both"/>
        <w:rPr>
          <w:rFonts w:ascii="Arial" w:eastAsia="Calibri" w:hAnsi="Arial" w:cs="Arial"/>
          <w:lang w:val="es-MX"/>
        </w:rPr>
      </w:pPr>
    </w:p>
    <w:p w14:paraId="6810C446" w14:textId="77777777" w:rsidR="00553A55" w:rsidRPr="00553A55" w:rsidRDefault="00553A55" w:rsidP="00553A55">
      <w:pPr>
        <w:spacing w:line="360" w:lineRule="auto"/>
        <w:jc w:val="center"/>
        <w:rPr>
          <w:rFonts w:ascii="Arial" w:eastAsia="Calibri" w:hAnsi="Arial" w:cs="Arial"/>
          <w:lang w:val="es-MX"/>
        </w:rPr>
      </w:pPr>
      <w:r w:rsidRPr="00553A55">
        <w:rPr>
          <w:rFonts w:ascii="Arial" w:eastAsia="Calibri" w:hAnsi="Arial" w:cs="Arial"/>
          <w:b/>
          <w:lang w:val="es-MX"/>
        </w:rPr>
        <w:t>De las Aportaciones</w:t>
      </w:r>
    </w:p>
    <w:p w14:paraId="6646ABDC"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13.-</w:t>
      </w:r>
      <w:r w:rsidRPr="00553A55">
        <w:rPr>
          <w:rFonts w:ascii="Arial" w:eastAsia="Calibri" w:hAnsi="Arial" w:cs="Arial"/>
          <w:lang w:val="es-MX"/>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 </w:t>
      </w:r>
    </w:p>
    <w:p w14:paraId="403C0F7B" w14:textId="77777777" w:rsidR="00553A55" w:rsidRPr="00553A55" w:rsidRDefault="00553A55" w:rsidP="00553A55">
      <w:pPr>
        <w:spacing w:line="360" w:lineRule="auto"/>
        <w:jc w:val="both"/>
        <w:rPr>
          <w:rFonts w:ascii="Arial" w:eastAsia="Calibri" w:hAnsi="Arial" w:cs="Arial"/>
          <w:lang w:val="es-MX"/>
        </w:rPr>
      </w:pPr>
    </w:p>
    <w:p w14:paraId="5B2AC57D"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Ingresos extraordinarios</w:t>
      </w:r>
    </w:p>
    <w:p w14:paraId="12E72427" w14:textId="77777777" w:rsidR="00553A55" w:rsidRPr="00553A55" w:rsidRDefault="00553A55" w:rsidP="00553A55">
      <w:pPr>
        <w:spacing w:line="360" w:lineRule="auto"/>
        <w:jc w:val="center"/>
        <w:rPr>
          <w:rFonts w:ascii="Arial" w:eastAsia="Calibri" w:hAnsi="Arial" w:cs="Arial"/>
          <w:lang w:val="es-MX"/>
        </w:rPr>
      </w:pPr>
    </w:p>
    <w:p w14:paraId="4862BA8B"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14.-</w:t>
      </w:r>
      <w:r w:rsidRPr="00553A55">
        <w:rPr>
          <w:rFonts w:ascii="Arial" w:eastAsia="Calibri" w:hAnsi="Arial" w:cs="Arial"/>
          <w:lang w:val="es-MX"/>
        </w:rPr>
        <w:t xml:space="preserve"> Son ingresos extraordinarios los recursos que puede percibir la Hacienda Pública Municipal, distintos de los anteriores, por los conceptos siguientes: </w:t>
      </w:r>
    </w:p>
    <w:p w14:paraId="0E9B4030" w14:textId="77777777" w:rsidR="00553A55" w:rsidRPr="00553A55" w:rsidRDefault="00553A55" w:rsidP="00553A55">
      <w:pPr>
        <w:spacing w:line="360" w:lineRule="auto"/>
        <w:jc w:val="both"/>
        <w:rPr>
          <w:rFonts w:ascii="Arial" w:eastAsia="Calibri" w:hAnsi="Arial" w:cs="Arial"/>
          <w:lang w:val="es-MX"/>
        </w:rPr>
      </w:pPr>
    </w:p>
    <w:p w14:paraId="74FA352B"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 xml:space="preserve">Los empréstitos que se obtengan, cumpliendo con las disposiciones de Ley; </w:t>
      </w:r>
    </w:p>
    <w:p w14:paraId="3DD6BA9E"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 xml:space="preserve">Los recibidos del Estado y la Federación por conceptos diferentes a Participaciones, Aportaciones, y a aquellos derivados de convenios de colaboración administrativa catalogados como aprovechamientos; </w:t>
      </w:r>
    </w:p>
    <w:p w14:paraId="71C20CF2"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 xml:space="preserve">Donativos; </w:t>
      </w:r>
    </w:p>
    <w:p w14:paraId="3C77A00B"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 xml:space="preserve">Cesiones; </w:t>
      </w:r>
    </w:p>
    <w:p w14:paraId="544390D9"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 </w:t>
      </w:r>
      <w:r w:rsidRPr="00553A55">
        <w:rPr>
          <w:rFonts w:ascii="Arial" w:eastAsia="Calibri" w:hAnsi="Arial" w:cs="Arial"/>
          <w:lang w:val="es-MX"/>
        </w:rPr>
        <w:t xml:space="preserve">Herencias; </w:t>
      </w:r>
    </w:p>
    <w:p w14:paraId="3F18C048"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 </w:t>
      </w:r>
      <w:r w:rsidRPr="00553A55">
        <w:rPr>
          <w:rFonts w:ascii="Arial" w:eastAsia="Calibri" w:hAnsi="Arial" w:cs="Arial"/>
          <w:lang w:val="es-MX"/>
        </w:rPr>
        <w:t xml:space="preserve">Legados; </w:t>
      </w:r>
    </w:p>
    <w:p w14:paraId="33954FC4"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 </w:t>
      </w:r>
      <w:r w:rsidRPr="00553A55">
        <w:rPr>
          <w:rFonts w:ascii="Arial" w:eastAsia="Calibri" w:hAnsi="Arial" w:cs="Arial"/>
          <w:lang w:val="es-MX"/>
        </w:rPr>
        <w:t xml:space="preserve">Por Adjudicaciones Judiciales; </w:t>
      </w:r>
    </w:p>
    <w:p w14:paraId="0221E23B"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VIII. </w:t>
      </w:r>
      <w:r w:rsidRPr="00553A55">
        <w:rPr>
          <w:rFonts w:ascii="Arial" w:eastAsia="Calibri" w:hAnsi="Arial" w:cs="Arial"/>
          <w:lang w:val="es-MX"/>
        </w:rPr>
        <w:t xml:space="preserve">Por Adjudicaciones Administrativas; </w:t>
      </w:r>
    </w:p>
    <w:p w14:paraId="68F0A49C"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IX. </w:t>
      </w:r>
      <w:r w:rsidRPr="00553A55">
        <w:rPr>
          <w:rFonts w:ascii="Arial" w:eastAsia="Calibri" w:hAnsi="Arial" w:cs="Arial"/>
          <w:lang w:val="es-MX"/>
        </w:rPr>
        <w:t xml:space="preserve">Por Subsidios de Organismos Públicos y Privados, y </w:t>
      </w:r>
    </w:p>
    <w:p w14:paraId="72E7D0D5"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lastRenderedPageBreak/>
        <w:t xml:space="preserve">X. </w:t>
      </w:r>
      <w:r w:rsidRPr="00553A55">
        <w:rPr>
          <w:rFonts w:ascii="Arial" w:eastAsia="Calibri" w:hAnsi="Arial" w:cs="Arial"/>
          <w:lang w:val="es-MX"/>
        </w:rPr>
        <w:t>Otros ingresos no especificados, entre ellos la recuperación de créditos otorgados o pagos realizados en ejercicios anteriores.</w:t>
      </w:r>
    </w:p>
    <w:p w14:paraId="42437C41" w14:textId="77777777" w:rsidR="00553A55" w:rsidRPr="00553A55" w:rsidRDefault="00553A55" w:rsidP="00553A55">
      <w:pPr>
        <w:spacing w:line="360" w:lineRule="auto"/>
        <w:contextualSpacing/>
        <w:jc w:val="both"/>
        <w:rPr>
          <w:rFonts w:ascii="Arial" w:eastAsia="Calibri" w:hAnsi="Arial" w:cs="Arial"/>
          <w:lang w:val="es-MX"/>
        </w:rPr>
      </w:pPr>
    </w:p>
    <w:p w14:paraId="3202B3A3"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los Créditos Fiscales</w:t>
      </w:r>
    </w:p>
    <w:p w14:paraId="2CB24EE1" w14:textId="77777777" w:rsidR="00553A55" w:rsidRPr="00553A55" w:rsidRDefault="00553A55" w:rsidP="00553A55">
      <w:pPr>
        <w:spacing w:line="360" w:lineRule="auto"/>
        <w:jc w:val="center"/>
        <w:rPr>
          <w:rFonts w:ascii="Arial" w:eastAsia="Calibri" w:hAnsi="Arial" w:cs="Arial"/>
          <w:b/>
          <w:lang w:val="es-MX"/>
        </w:rPr>
      </w:pPr>
    </w:p>
    <w:p w14:paraId="4F88DF56"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 xml:space="preserve">Articulo 15.- </w:t>
      </w:r>
      <w:r w:rsidRPr="00553A55">
        <w:rPr>
          <w:rFonts w:ascii="Arial" w:eastAsia="Calibri" w:hAnsi="Arial" w:cs="Arial"/>
          <w:lang w:val="es-MX"/>
        </w:rPr>
        <w:t xml:space="preserve">Son créditos fiscales aquéllos que tenga derecho de percibir el Ayuntamiento y sus organismos descentralizados, que provengan de contribuciones, de aprovechamientos y de sus accesorios, incluyendo los que deriven de responsabilidades que el Ayuntamiento tenga derecho a exigir de sus servidores públicos o de los particulares, así como aquellos a los que la Ley otorgue ese carácter y el Municipio tenga derecho a percibir, por cuenta ajena. </w:t>
      </w:r>
    </w:p>
    <w:p w14:paraId="50ECB8AA" w14:textId="77777777" w:rsidR="00553A55" w:rsidRPr="00553A55" w:rsidRDefault="00553A55" w:rsidP="00553A55">
      <w:pPr>
        <w:spacing w:line="360" w:lineRule="auto"/>
        <w:jc w:val="both"/>
        <w:rPr>
          <w:rFonts w:ascii="Arial" w:eastAsia="Calibri" w:hAnsi="Arial" w:cs="Arial"/>
          <w:lang w:val="es-MX"/>
        </w:rPr>
      </w:pPr>
    </w:p>
    <w:p w14:paraId="2475241B"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la causación y determinación</w:t>
      </w:r>
    </w:p>
    <w:p w14:paraId="3CF6EB30" w14:textId="77777777" w:rsidR="00553A55" w:rsidRPr="00553A55" w:rsidRDefault="00553A55" w:rsidP="00553A55">
      <w:pPr>
        <w:spacing w:line="360" w:lineRule="auto"/>
        <w:jc w:val="both"/>
        <w:rPr>
          <w:rFonts w:ascii="Arial" w:eastAsia="Calibri" w:hAnsi="Arial" w:cs="Arial"/>
          <w:lang w:val="es-MX"/>
        </w:rPr>
      </w:pPr>
    </w:p>
    <w:p w14:paraId="67A95FEF"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 xml:space="preserve">Artículo 16.- </w:t>
      </w:r>
      <w:r w:rsidRPr="00553A55">
        <w:rPr>
          <w:rFonts w:ascii="Arial" w:eastAsia="Calibri" w:hAnsi="Arial" w:cs="Arial"/>
          <w:lang w:val="es-MX"/>
        </w:rPr>
        <w:t xml:space="preserve">Las contribuciones se causan, conforme se realizan las situaciones jurídicas o de hecho, previstas en las leyes fiscales vigentes durante el lapso en que ocurran. </w:t>
      </w:r>
    </w:p>
    <w:p w14:paraId="67D2494F" w14:textId="77777777" w:rsidR="00553A55" w:rsidRPr="00553A55" w:rsidRDefault="00553A55" w:rsidP="00553A55">
      <w:pPr>
        <w:spacing w:line="360" w:lineRule="auto"/>
        <w:jc w:val="both"/>
        <w:rPr>
          <w:rFonts w:ascii="Arial" w:eastAsia="Calibri" w:hAnsi="Arial" w:cs="Arial"/>
          <w:lang w:val="es-MX"/>
        </w:rPr>
      </w:pPr>
    </w:p>
    <w:p w14:paraId="095354B6"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Dichas contribuciones se determinarán de acuerdo con las disposiciones vigentes en el momento de su causación, pero les serán aplicables las normas sobre procedimientos que se expidan con posterioridad. </w:t>
      </w:r>
    </w:p>
    <w:p w14:paraId="5CE58B01"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6D128ABD" w14:textId="77777777" w:rsidR="00553A55" w:rsidRPr="00553A55" w:rsidRDefault="00553A55" w:rsidP="00553A55">
      <w:pPr>
        <w:spacing w:line="360" w:lineRule="auto"/>
        <w:jc w:val="both"/>
        <w:rPr>
          <w:rFonts w:ascii="Arial" w:eastAsia="Calibri" w:hAnsi="Arial" w:cs="Arial"/>
          <w:lang w:val="es-MX"/>
        </w:rPr>
      </w:pPr>
    </w:p>
    <w:p w14:paraId="7B616BA5"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Los contribuyentes, proporcionarán a las mencionadas autoridades, la información necesaria y suficiente para determinar las citadas contribuciones, en un plazo máximo de quince días siguientes, a la fecha de su causación, salvo en los casos que la propia Ley fije otro plazo. </w:t>
      </w:r>
    </w:p>
    <w:p w14:paraId="636B83DD" w14:textId="77777777" w:rsidR="00553A55" w:rsidRPr="00553A55" w:rsidRDefault="00553A55" w:rsidP="00553A55">
      <w:pPr>
        <w:spacing w:line="360" w:lineRule="auto"/>
        <w:jc w:val="both"/>
        <w:rPr>
          <w:rFonts w:ascii="Arial" w:eastAsia="Calibri" w:hAnsi="Arial" w:cs="Arial"/>
          <w:b/>
          <w:lang w:val="es-MX"/>
        </w:rPr>
      </w:pPr>
    </w:p>
    <w:p w14:paraId="2EAE96EB"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17.-</w:t>
      </w:r>
      <w:r w:rsidRPr="00553A55">
        <w:rPr>
          <w:rFonts w:ascii="Arial" w:eastAsia="Calibri" w:hAnsi="Arial" w:cs="Arial"/>
          <w:lang w:val="es-MX"/>
        </w:rPr>
        <w:t>Las personas domiciliadas dentro del Municipio de Hunucmá, Yucatán, o fuera de él y que tuvieren bienes o celebren actos de comercio dentro del territorio de este, están obligados a contribuir para los gastos públicos del Municipio y a cumplir con las disposiciones administrativas y fiscales que se señalen en la presente ley, en el Código Fiscal del Estado de Yucatán y en los reglamentos municipales que correspondan.</w:t>
      </w:r>
    </w:p>
    <w:p w14:paraId="7AE082D8" w14:textId="77777777" w:rsidR="00553A55" w:rsidRPr="00553A55" w:rsidRDefault="00553A55" w:rsidP="00553A55">
      <w:pPr>
        <w:spacing w:line="360" w:lineRule="auto"/>
        <w:jc w:val="both"/>
        <w:rPr>
          <w:rFonts w:ascii="Arial" w:eastAsia="Calibri" w:hAnsi="Arial" w:cs="Arial"/>
          <w:lang w:val="es-MX"/>
        </w:rPr>
      </w:pPr>
    </w:p>
    <w:p w14:paraId="120891A2"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Son solidariamente responsables del pago de un crédito fiscal:</w:t>
      </w:r>
    </w:p>
    <w:p w14:paraId="6DC79C63"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lastRenderedPageBreak/>
        <w:t xml:space="preserve">I. </w:t>
      </w:r>
      <w:r w:rsidRPr="00553A55">
        <w:rPr>
          <w:rFonts w:ascii="Arial" w:eastAsia="Calibri" w:hAnsi="Arial" w:cs="Arial"/>
          <w:lang w:val="es-MX"/>
        </w:rPr>
        <w:t xml:space="preserve">Las personas físicas y morales, que adquieran bienes o negociaciones, que reporten adeudos a favor del Municipio de Hunucmá, Yucatán, y, que correspondan a períodos anteriores a la adquisición; </w:t>
      </w:r>
    </w:p>
    <w:p w14:paraId="1DC76612"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Los albaceas, copropietarios, fideicomitentes o fideicomisarios de un bien determinado, por cuya administración, copropiedad o derecho, se cause una contribución en favor del Municipio;</w:t>
      </w:r>
    </w:p>
    <w:p w14:paraId="05A38DCB"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Los retenedores de impuestos y otras contribuciones; y</w:t>
      </w:r>
    </w:p>
    <w:p w14:paraId="6E8362A2"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416BE267" w14:textId="77777777" w:rsidR="00553A55" w:rsidRPr="00553A55" w:rsidRDefault="00553A55" w:rsidP="00553A55">
      <w:pPr>
        <w:spacing w:line="360" w:lineRule="auto"/>
        <w:jc w:val="both"/>
        <w:rPr>
          <w:rFonts w:ascii="Arial" w:eastAsia="Calibri" w:hAnsi="Arial" w:cs="Arial"/>
          <w:b/>
          <w:lang w:val="es-MX"/>
        </w:rPr>
      </w:pPr>
    </w:p>
    <w:p w14:paraId="62D96581"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18.-</w:t>
      </w:r>
      <w:r w:rsidRPr="00553A55">
        <w:rPr>
          <w:rFonts w:ascii="Arial" w:eastAsia="Calibri" w:hAnsi="Arial" w:cs="Arial"/>
          <w:lang w:val="es-MX"/>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 del crédito fiscal. </w:t>
      </w:r>
    </w:p>
    <w:p w14:paraId="4917E8C5" w14:textId="77777777" w:rsidR="00553A55" w:rsidRPr="00553A55" w:rsidRDefault="00553A55" w:rsidP="00553A55">
      <w:pPr>
        <w:spacing w:line="360" w:lineRule="auto"/>
        <w:jc w:val="both"/>
        <w:rPr>
          <w:rFonts w:ascii="Arial" w:eastAsia="Calibri" w:hAnsi="Arial" w:cs="Arial"/>
          <w:lang w:val="es-MX"/>
        </w:rPr>
      </w:pPr>
    </w:p>
    <w:p w14:paraId="35499E6A"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644F21F8" w14:textId="77777777" w:rsidR="00553A55" w:rsidRPr="00553A55" w:rsidRDefault="00553A55" w:rsidP="00553A55">
      <w:pPr>
        <w:spacing w:line="360" w:lineRule="auto"/>
        <w:jc w:val="both"/>
        <w:rPr>
          <w:rFonts w:ascii="Arial" w:eastAsia="Calibri" w:hAnsi="Arial" w:cs="Arial"/>
          <w:lang w:val="es-MX"/>
        </w:rPr>
      </w:pPr>
    </w:p>
    <w:p w14:paraId="4AD722A6"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lang w:val="es-MX"/>
        </w:rPr>
        <w:t xml:space="preserve">La existencia de personal de guardia no habilita los días en que se suspendan las labores. Si al término del vencimiento fuere día inhábil, el plazo se prorrogará al siguiente día hábil. </w:t>
      </w:r>
    </w:p>
    <w:p w14:paraId="3A59284D" w14:textId="77777777" w:rsidR="00553A55" w:rsidRPr="00553A55" w:rsidRDefault="00553A55" w:rsidP="00553A55">
      <w:pPr>
        <w:spacing w:line="360" w:lineRule="auto"/>
        <w:jc w:val="center"/>
        <w:rPr>
          <w:rFonts w:ascii="Arial" w:eastAsia="Calibri" w:hAnsi="Arial" w:cs="Arial"/>
          <w:b/>
          <w:lang w:val="es-MX"/>
        </w:rPr>
      </w:pPr>
    </w:p>
    <w:p w14:paraId="096BDE54" w14:textId="77777777" w:rsidR="00553A55" w:rsidRPr="00553A55" w:rsidRDefault="00553A55" w:rsidP="00553A55">
      <w:pPr>
        <w:spacing w:line="360" w:lineRule="auto"/>
        <w:jc w:val="center"/>
        <w:rPr>
          <w:rFonts w:ascii="Arial" w:eastAsia="Calibri" w:hAnsi="Arial" w:cs="Arial"/>
          <w:lang w:val="es-MX"/>
        </w:rPr>
      </w:pPr>
      <w:r w:rsidRPr="00553A55">
        <w:rPr>
          <w:rFonts w:ascii="Arial" w:eastAsia="Calibri" w:hAnsi="Arial" w:cs="Arial"/>
          <w:b/>
          <w:lang w:val="es-MX"/>
        </w:rPr>
        <w:t>CAPÍTULO III</w:t>
      </w:r>
    </w:p>
    <w:p w14:paraId="0A3CF384"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Del pago a plazos</w:t>
      </w:r>
    </w:p>
    <w:p w14:paraId="5F56CEDE" w14:textId="77777777" w:rsidR="00553A55" w:rsidRPr="00553A55" w:rsidRDefault="00553A55" w:rsidP="00553A55">
      <w:pPr>
        <w:spacing w:line="360" w:lineRule="auto"/>
        <w:jc w:val="center"/>
        <w:rPr>
          <w:rFonts w:ascii="Arial" w:eastAsia="Calibri" w:hAnsi="Arial" w:cs="Arial"/>
          <w:lang w:val="es-MX"/>
        </w:rPr>
      </w:pPr>
    </w:p>
    <w:p w14:paraId="204AF22B"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 xml:space="preserve">Artículo 19.- </w:t>
      </w:r>
      <w:r w:rsidRPr="00553A55">
        <w:rPr>
          <w:rFonts w:ascii="Arial" w:eastAsia="Calibri" w:hAnsi="Arial" w:cs="Arial"/>
          <w:lang w:val="es-MX"/>
        </w:rPr>
        <w:t xml:space="preserve">El Presidente Municipal conjuntamente con la Secretaria Municipal y el Tesorero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14:paraId="76391517" w14:textId="7CFAFB1C" w:rsidR="00553A55" w:rsidRPr="00553A55" w:rsidRDefault="005B0D13" w:rsidP="00553A55">
      <w:pPr>
        <w:spacing w:line="360" w:lineRule="auto"/>
        <w:jc w:val="center"/>
        <w:rPr>
          <w:rFonts w:ascii="Arial" w:eastAsia="Calibri" w:hAnsi="Arial" w:cs="Arial"/>
          <w:b/>
          <w:lang w:val="es-MX"/>
        </w:rPr>
      </w:pPr>
      <w:r>
        <w:rPr>
          <w:rFonts w:ascii="Arial" w:eastAsia="Calibri" w:hAnsi="Arial" w:cs="Arial"/>
          <w:b/>
          <w:lang w:val="es-MX"/>
        </w:rPr>
        <w:br w:type="column"/>
      </w:r>
    </w:p>
    <w:p w14:paraId="06EAF969"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los Pagos en General</w:t>
      </w:r>
    </w:p>
    <w:p w14:paraId="7F6EF3E7" w14:textId="77777777" w:rsidR="00553A55" w:rsidRPr="00553A55" w:rsidRDefault="00553A55" w:rsidP="00553A55">
      <w:pPr>
        <w:spacing w:line="360" w:lineRule="auto"/>
        <w:jc w:val="center"/>
        <w:rPr>
          <w:rFonts w:ascii="Arial" w:eastAsia="Calibri" w:hAnsi="Arial" w:cs="Arial"/>
          <w:b/>
          <w:lang w:val="es-MX"/>
        </w:rPr>
      </w:pPr>
    </w:p>
    <w:p w14:paraId="5E8FDF0D"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20.-</w:t>
      </w:r>
      <w:r w:rsidRPr="00553A55">
        <w:rPr>
          <w:rFonts w:ascii="Arial" w:eastAsia="Calibri" w:hAnsi="Arial" w:cs="Arial"/>
          <w:lang w:val="es-MX"/>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506CD28F" w14:textId="77777777" w:rsidR="00553A55" w:rsidRPr="00553A55" w:rsidRDefault="00553A55" w:rsidP="00553A55">
      <w:pPr>
        <w:spacing w:line="360" w:lineRule="auto"/>
        <w:jc w:val="both"/>
        <w:rPr>
          <w:rFonts w:ascii="Arial" w:eastAsia="Calibri" w:hAnsi="Arial" w:cs="Arial"/>
          <w:lang w:val="es-MX"/>
        </w:rPr>
      </w:pPr>
    </w:p>
    <w:p w14:paraId="79D693CF" w14:textId="77777777" w:rsidR="00553A55" w:rsidRPr="00553A55" w:rsidRDefault="00553A55" w:rsidP="00553A55">
      <w:pPr>
        <w:spacing w:line="360" w:lineRule="auto"/>
        <w:ind w:firstLine="708"/>
        <w:jc w:val="both"/>
        <w:rPr>
          <w:rFonts w:ascii="Arial" w:eastAsia="Calibri" w:hAnsi="Arial" w:cs="Arial"/>
          <w:lang w:val="es-MX"/>
        </w:rPr>
      </w:pPr>
      <w:r w:rsidRPr="00553A55">
        <w:rPr>
          <w:rFonts w:ascii="Arial" w:eastAsia="Calibri" w:hAnsi="Arial" w:cs="Arial"/>
          <w:lang w:val="es-MX"/>
        </w:rPr>
        <w:t xml:space="preserve">Los créditos fiscales que las autoridades determinen y notifiquen, deberán pagarse o garantizarse dentro del término de quince días hábiles contados a partir del siguiente a aquel en que surta sus efectos la notificación, juntamente con las multas, recargos y los gastos correspondientes, salvo en los casos en que la ley señale otro plazo y, además, deberán hacerse en moneda nacional y de curso legal. Se aceptarán como medios de pago, además del pago en efectivo, los cheques certificados, trasferencias bancarias y demás métodos establecidos como legales para realizar el pago. </w:t>
      </w:r>
    </w:p>
    <w:p w14:paraId="37F16090" w14:textId="77777777" w:rsidR="00553A55" w:rsidRPr="00553A55" w:rsidRDefault="00553A55" w:rsidP="00553A55">
      <w:pPr>
        <w:spacing w:line="360" w:lineRule="auto"/>
        <w:ind w:firstLine="708"/>
        <w:jc w:val="both"/>
        <w:rPr>
          <w:rFonts w:ascii="Arial" w:eastAsia="Calibri" w:hAnsi="Arial" w:cs="Arial"/>
          <w:lang w:val="es-MX"/>
        </w:rPr>
      </w:pPr>
    </w:p>
    <w:p w14:paraId="42125199" w14:textId="77777777" w:rsidR="00553A55" w:rsidRPr="00553A55" w:rsidRDefault="00553A55" w:rsidP="00553A55">
      <w:pPr>
        <w:spacing w:line="360" w:lineRule="auto"/>
        <w:ind w:firstLine="360"/>
        <w:jc w:val="both"/>
        <w:rPr>
          <w:rFonts w:ascii="Arial" w:eastAsia="Calibri" w:hAnsi="Arial" w:cs="Arial"/>
          <w:lang w:val="es-MX"/>
        </w:rPr>
      </w:pPr>
      <w:r w:rsidRPr="00553A55">
        <w:rPr>
          <w:rFonts w:ascii="Arial" w:eastAsia="Calibri" w:hAnsi="Arial" w:cs="Arial"/>
          <w:lang w:val="es-MX"/>
        </w:rPr>
        <w:t xml:space="preserve">Los pagos que se hagan se aplicarán a los créditos más antiguos siempre que se trate de una misma contribución y, antes del adeudo principal, a los accesorios, en el siguiente orden: </w:t>
      </w:r>
    </w:p>
    <w:p w14:paraId="53D139E4" w14:textId="77777777" w:rsidR="00553A55" w:rsidRPr="00553A55" w:rsidRDefault="00553A55" w:rsidP="00553A55">
      <w:pPr>
        <w:spacing w:line="360" w:lineRule="auto"/>
        <w:ind w:firstLine="360"/>
        <w:jc w:val="both"/>
        <w:rPr>
          <w:rFonts w:ascii="Arial" w:eastAsia="Calibri" w:hAnsi="Arial" w:cs="Arial"/>
          <w:lang w:val="es-MX"/>
        </w:rPr>
      </w:pPr>
    </w:p>
    <w:p w14:paraId="1CA6BB78"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 xml:space="preserve">Gastos de ejecución; </w:t>
      </w:r>
    </w:p>
    <w:p w14:paraId="4372A3B0"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 xml:space="preserve">Recargos; </w:t>
      </w:r>
    </w:p>
    <w:p w14:paraId="1FFE8084"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 xml:space="preserve">Multas, y </w:t>
      </w:r>
    </w:p>
    <w:p w14:paraId="0194F8CF"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IV.</w:t>
      </w:r>
      <w:r w:rsidRPr="00553A55">
        <w:rPr>
          <w:rFonts w:ascii="Arial" w:eastAsia="Calibri" w:hAnsi="Arial" w:cs="Arial"/>
          <w:lang w:val="es-MX"/>
        </w:rPr>
        <w:t xml:space="preserve"> La indemnización a que hace referencia en esta ley. </w:t>
      </w:r>
    </w:p>
    <w:p w14:paraId="4B19E129" w14:textId="77777777" w:rsidR="00553A55" w:rsidRPr="00553A55" w:rsidRDefault="00553A55" w:rsidP="00553A55">
      <w:pPr>
        <w:spacing w:line="360" w:lineRule="auto"/>
        <w:contextualSpacing/>
        <w:jc w:val="both"/>
        <w:rPr>
          <w:rFonts w:ascii="Arial" w:eastAsia="Calibri" w:hAnsi="Arial" w:cs="Arial"/>
          <w:lang w:val="es-MX"/>
        </w:rPr>
      </w:pPr>
    </w:p>
    <w:p w14:paraId="3ADFB212" w14:textId="77777777" w:rsidR="00553A55" w:rsidRPr="00553A55" w:rsidRDefault="00553A55" w:rsidP="00553A55">
      <w:pPr>
        <w:spacing w:line="360" w:lineRule="auto"/>
        <w:contextualSpacing/>
        <w:jc w:val="center"/>
        <w:rPr>
          <w:rFonts w:ascii="Arial" w:eastAsia="Calibri" w:hAnsi="Arial" w:cs="Arial"/>
          <w:b/>
          <w:lang w:val="es-MX"/>
        </w:rPr>
      </w:pPr>
      <w:r w:rsidRPr="00553A55">
        <w:rPr>
          <w:rFonts w:ascii="Arial" w:eastAsia="Calibri" w:hAnsi="Arial" w:cs="Arial"/>
          <w:b/>
          <w:lang w:val="es-MX"/>
        </w:rPr>
        <w:t>De los formularios</w:t>
      </w:r>
    </w:p>
    <w:p w14:paraId="32BF291E" w14:textId="77777777" w:rsidR="00553A55" w:rsidRPr="00553A55" w:rsidRDefault="00553A55" w:rsidP="00553A55">
      <w:pPr>
        <w:spacing w:line="360" w:lineRule="auto"/>
        <w:contextualSpacing/>
        <w:jc w:val="center"/>
        <w:rPr>
          <w:rFonts w:ascii="Arial" w:eastAsia="Calibri" w:hAnsi="Arial" w:cs="Arial"/>
          <w:lang w:val="es-MX"/>
        </w:rPr>
      </w:pPr>
    </w:p>
    <w:p w14:paraId="6A992FCC"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21.-</w:t>
      </w:r>
      <w:r w:rsidRPr="00553A55">
        <w:rPr>
          <w:rFonts w:ascii="Arial" w:eastAsia="Calibri" w:hAnsi="Arial" w:cs="Arial"/>
          <w:lang w:val="es-MX"/>
        </w:rPr>
        <w:t xml:space="preserve"> Los avisos, declaraciones, solicitudes, memoriales o manifestaciones,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11CBA564" w14:textId="77777777" w:rsidR="00553A55" w:rsidRPr="00553A55" w:rsidRDefault="00553A55" w:rsidP="00553A55">
      <w:pPr>
        <w:spacing w:line="360" w:lineRule="auto"/>
        <w:jc w:val="both"/>
        <w:rPr>
          <w:rFonts w:ascii="Arial" w:eastAsia="Calibri" w:hAnsi="Arial" w:cs="Arial"/>
          <w:lang w:val="es-MX"/>
        </w:rPr>
      </w:pPr>
    </w:p>
    <w:p w14:paraId="4C949F9B" w14:textId="77777777" w:rsidR="00553A55" w:rsidRPr="00553A55" w:rsidRDefault="00553A55" w:rsidP="00553A55">
      <w:pPr>
        <w:spacing w:line="360" w:lineRule="auto"/>
        <w:jc w:val="center"/>
        <w:rPr>
          <w:rFonts w:ascii="Arial" w:eastAsia="Calibri" w:hAnsi="Arial" w:cs="Arial"/>
          <w:b/>
          <w:lang w:val="es-MX"/>
        </w:rPr>
      </w:pPr>
      <w:r w:rsidRPr="00553A55">
        <w:rPr>
          <w:rFonts w:ascii="Arial" w:eastAsia="Calibri" w:hAnsi="Arial" w:cs="Arial"/>
          <w:b/>
          <w:lang w:val="es-MX"/>
        </w:rPr>
        <w:t>De las Obligaciones en General</w:t>
      </w:r>
    </w:p>
    <w:p w14:paraId="7CBBD293" w14:textId="77777777" w:rsidR="00553A55" w:rsidRPr="00553A55" w:rsidRDefault="00553A55" w:rsidP="00553A55">
      <w:pPr>
        <w:spacing w:line="360" w:lineRule="auto"/>
        <w:jc w:val="center"/>
        <w:rPr>
          <w:rFonts w:ascii="Arial" w:eastAsia="Calibri" w:hAnsi="Arial" w:cs="Arial"/>
          <w:b/>
          <w:lang w:val="es-MX"/>
        </w:rPr>
      </w:pPr>
    </w:p>
    <w:p w14:paraId="4C8A465D"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Artículo 22.-</w:t>
      </w:r>
      <w:r w:rsidRPr="00553A55">
        <w:rPr>
          <w:rFonts w:ascii="Arial" w:eastAsia="Calibri" w:hAnsi="Arial" w:cs="Arial"/>
          <w:lang w:val="es-MX"/>
        </w:rPr>
        <w:t xml:space="preserve"> Las personas físicas y morales, además de las obligaciones especiales contenidas en la presente ley, deberán cumplir con las siguientes: </w:t>
      </w:r>
    </w:p>
    <w:p w14:paraId="6FBA4C74" w14:textId="77777777" w:rsidR="00553A55" w:rsidRPr="00553A55" w:rsidRDefault="00553A55" w:rsidP="00553A55">
      <w:pPr>
        <w:spacing w:line="360" w:lineRule="auto"/>
        <w:jc w:val="both"/>
        <w:rPr>
          <w:rFonts w:ascii="Arial" w:eastAsia="Calibri" w:hAnsi="Arial" w:cs="Arial"/>
          <w:lang w:val="es-MX"/>
        </w:rPr>
      </w:pPr>
    </w:p>
    <w:p w14:paraId="5913E2D8"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lastRenderedPageBreak/>
        <w:t xml:space="preserve">I. </w:t>
      </w:r>
      <w:r w:rsidRPr="00553A55">
        <w:rPr>
          <w:rFonts w:ascii="Arial" w:eastAsia="Calibri" w:hAnsi="Arial" w:cs="Arial"/>
          <w:lang w:val="es-MX"/>
        </w:rPr>
        <w:t xml:space="preserve">Empadronarse en la Tesorería Municipal, a más tardar treinta días naturales después de la apertura del comercio, negocio o establecimiento, o de la iniciación de actividades, si realizan actividades permanentes con el objeto de obtener la licencia municipal de funcionamiento; </w:t>
      </w:r>
    </w:p>
    <w:p w14:paraId="6AF2571A"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 xml:space="preserve">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 </w:t>
      </w:r>
    </w:p>
    <w:p w14:paraId="6E046A17"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 xml:space="preserve">Dar aviso por escrito, en un plazo de quince días hábiles, de cualquier modificación, aumento de giro, traspaso, cambio de domicilio, cambio de denominación, suspensión de actividades, clausura y baja; </w:t>
      </w:r>
    </w:p>
    <w:p w14:paraId="3A66F90E"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Recabar la autorización de la Tesorería Municipal, si realizan actividades eventuales y con base en dicha autorización, solicitar la determinación de las contribuciones que estén obligados a pagar;</w:t>
      </w:r>
    </w:p>
    <w:p w14:paraId="1B6D5BF0"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 </w:t>
      </w:r>
      <w:r w:rsidRPr="00553A55">
        <w:rPr>
          <w:rFonts w:ascii="Arial" w:eastAsia="Calibri" w:hAnsi="Arial" w:cs="Arial"/>
          <w:lang w:val="es-MX"/>
        </w:rPr>
        <w:t>Utilizar las formas o formularios elaborados por la Tesorería Municipal, para comparecer, solicitar o liquidar créditos fiscales y/o administrativos;</w:t>
      </w:r>
    </w:p>
    <w:p w14:paraId="4D6CD576"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 </w:t>
      </w:r>
      <w:r w:rsidRPr="00553A55">
        <w:rPr>
          <w:rFonts w:ascii="Arial" w:eastAsia="Calibri" w:hAnsi="Arial" w:cs="Arial"/>
          <w:lang w:val="es-MX"/>
        </w:rPr>
        <w:t xml:space="preserve">Permitir las visitas de inspección, atender los requerimientos de documentación y auditorías que determine la Tesorería Municipal, en la forma y dentro de los plazos que señala el Código Fiscal del Estado de Yucatán; </w:t>
      </w:r>
    </w:p>
    <w:p w14:paraId="6345F073"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 </w:t>
      </w:r>
      <w:r w:rsidRPr="00553A55">
        <w:rPr>
          <w:rFonts w:ascii="Arial" w:eastAsia="Calibri" w:hAnsi="Arial" w:cs="Arial"/>
          <w:lang w:val="es-MX"/>
        </w:rPr>
        <w:t xml:space="preserve">Exhibir los documentos públicos y privados que requiera la Tesorería Municipal, previo mandamiento por escrito que funde y motive esta medida; </w:t>
      </w:r>
    </w:p>
    <w:p w14:paraId="0D264ACA"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VIII. </w:t>
      </w:r>
      <w:r w:rsidRPr="00553A55">
        <w:rPr>
          <w:rFonts w:ascii="Arial" w:eastAsia="Calibri" w:hAnsi="Arial" w:cs="Arial"/>
          <w:lang w:val="es-MX"/>
        </w:rPr>
        <w:t xml:space="preserve">Proporcionar con veracidad los datos que requiera la Tesorería Municipal, y </w:t>
      </w:r>
    </w:p>
    <w:p w14:paraId="110FE726" w14:textId="77777777" w:rsidR="00553A55" w:rsidRPr="00553A55" w:rsidRDefault="00553A55" w:rsidP="00553A55">
      <w:pPr>
        <w:spacing w:line="360" w:lineRule="auto"/>
        <w:contextualSpacing/>
        <w:jc w:val="both"/>
        <w:rPr>
          <w:rFonts w:ascii="Arial" w:eastAsia="Calibri" w:hAnsi="Arial" w:cs="Arial"/>
          <w:lang w:val="es-MX"/>
        </w:rPr>
      </w:pPr>
      <w:r w:rsidRPr="00553A55">
        <w:rPr>
          <w:rFonts w:ascii="Arial" w:eastAsia="Calibri" w:hAnsi="Arial" w:cs="Arial"/>
          <w:b/>
          <w:lang w:val="es-MX"/>
        </w:rPr>
        <w:t xml:space="preserve">IX. </w:t>
      </w:r>
      <w:r w:rsidRPr="00553A55">
        <w:rPr>
          <w:rFonts w:ascii="Arial" w:eastAsia="Calibri" w:hAnsi="Arial" w:cs="Arial"/>
          <w:lang w:val="es-MX"/>
        </w:rPr>
        <w:t>Realizar los pagos, y cumplir con las obligaciones fiscales, en la forma y términos que señala la presente ley.</w:t>
      </w:r>
    </w:p>
    <w:p w14:paraId="2A236663" w14:textId="77777777" w:rsidR="00553A55" w:rsidRPr="00553A55" w:rsidRDefault="00553A55" w:rsidP="00553A55">
      <w:pPr>
        <w:spacing w:line="360" w:lineRule="auto"/>
        <w:jc w:val="both"/>
        <w:rPr>
          <w:rFonts w:ascii="Arial" w:eastAsia="Calibri" w:hAnsi="Arial" w:cs="Arial"/>
          <w:lang w:val="es-MX"/>
        </w:rPr>
      </w:pPr>
    </w:p>
    <w:p w14:paraId="2B1BA5AE"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CAPITULO IV</w:t>
      </w:r>
    </w:p>
    <w:p w14:paraId="5EAFC32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las Licencias de Funcionamiento</w:t>
      </w:r>
    </w:p>
    <w:p w14:paraId="17DE78D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CCDFF5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23.- </w:t>
      </w:r>
      <w:r w:rsidRPr="00553A55">
        <w:rPr>
          <w:rFonts w:ascii="Arial" w:eastAsia="Calibri" w:hAnsi="Arial" w:cs="Arial"/>
          <w:lang w:val="es-MX"/>
        </w:rPr>
        <w:t>Las licencias de funcionamientos, permisos, constancias y autorizaciones se expedirán de acuerdo al departamento que corresponda y se cobrarán de conformidad a la Ley de Ingresos vigente.</w:t>
      </w:r>
    </w:p>
    <w:p w14:paraId="15C9411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4D1CCD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24.- </w:t>
      </w:r>
      <w:r w:rsidRPr="00553A55">
        <w:rPr>
          <w:rFonts w:ascii="Arial" w:eastAsia="Calibri" w:hAnsi="Arial" w:cs="Arial"/>
          <w:lang w:val="es-MX"/>
        </w:rPr>
        <w:t>Las licencias de funcionamiento Permisos, Constancias y Autorizaciones que expida la Dirección de Desarrollo Urbano serán expedidas y cobrados de conformidad con la tabla de derechos vigentes de la Ley de Ingresos.</w:t>
      </w:r>
    </w:p>
    <w:p w14:paraId="5FAC3FA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E11D01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lastRenderedPageBreak/>
        <w:t>Tendrán una vigencia de un año, teniendo obligatoriamente que renovarse a más tardar el último día del mes de enero de cada año y a falta de pago se podrá imponer, alguna sanción, como recargos y multas.</w:t>
      </w:r>
    </w:p>
    <w:p w14:paraId="3C67E81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93F214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25.- </w:t>
      </w:r>
      <w:r w:rsidRPr="00553A55">
        <w:rPr>
          <w:rFonts w:ascii="Arial" w:eastAsia="Calibri" w:hAnsi="Arial" w:cs="Arial"/>
          <w:lang w:val="es-MX"/>
        </w:rPr>
        <w:t>Las licencias de funcionamiento serán tramitadas y expedidas por la Dirección de Desarrollo Urbano o en su caso el departamento de tesorería según corresponda, de conformidad con la tabla de derechos vigentes en la ley de ingresos, en su caso.</w:t>
      </w:r>
    </w:p>
    <w:p w14:paraId="05EB9A3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A884D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Tendrán una vigencia de un año, teniendo obligatoriamente que renovarse a más tardar el último día del mes de enero de cada año.</w:t>
      </w:r>
    </w:p>
    <w:p w14:paraId="1A1F9989" w14:textId="77777777" w:rsidR="00553A55" w:rsidRPr="00553A55" w:rsidRDefault="00553A55" w:rsidP="00553A55">
      <w:pPr>
        <w:autoSpaceDE w:val="0"/>
        <w:autoSpaceDN w:val="0"/>
        <w:adjustRightInd w:val="0"/>
        <w:jc w:val="both"/>
        <w:rPr>
          <w:rFonts w:ascii="Arial" w:eastAsia="Calibri" w:hAnsi="Arial" w:cs="Arial"/>
          <w:lang w:val="es-MX"/>
        </w:rPr>
      </w:pPr>
    </w:p>
    <w:p w14:paraId="4951E17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departamento de tesorería expedirá las siguientes licencias, previo los siguientes requisitos:</w:t>
      </w:r>
    </w:p>
    <w:p w14:paraId="6543F4D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7B13B43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V</w:t>
      </w:r>
    </w:p>
    <w:p w14:paraId="3DF4937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requisitos para el pago de las Contribuciones</w:t>
      </w:r>
    </w:p>
    <w:p w14:paraId="6ACA2A2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68BFDF8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Articulo 26.- </w:t>
      </w:r>
      <w:r w:rsidRPr="00553A55">
        <w:rPr>
          <w:rFonts w:ascii="Arial" w:eastAsia="Calibri" w:hAnsi="Arial" w:cs="Arial"/>
          <w:lang w:val="es-MX"/>
        </w:rPr>
        <w:t>Requisitos que deberá presentar para el cobro de impuesto predial.</w:t>
      </w:r>
    </w:p>
    <w:p w14:paraId="23F005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A1D700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Se requiere Cédula Catastral Actualizada (del año en curso)</w:t>
      </w:r>
    </w:p>
    <w:p w14:paraId="665FDC1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68A470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27.- </w:t>
      </w:r>
      <w:r w:rsidRPr="00553A55">
        <w:rPr>
          <w:rFonts w:ascii="Arial" w:eastAsia="Calibri" w:hAnsi="Arial" w:cs="Arial"/>
          <w:lang w:val="es-MX"/>
        </w:rPr>
        <w:t>Requisitos que deberá presentar para el pago del impuesto sobre la adquisición de inmuebles.</w:t>
      </w:r>
    </w:p>
    <w:p w14:paraId="01D2A82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989181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Manifestó notarial de la operación;</w:t>
      </w:r>
    </w:p>
    <w:p w14:paraId="6B6DE7D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Constancia de validación del avalúo comercial (emitida por la dirección de catastro del INSEJUPY);</w:t>
      </w:r>
    </w:p>
    <w:p w14:paraId="72654BB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Cedula y plano catastral, y</w:t>
      </w:r>
    </w:p>
    <w:p w14:paraId="331683D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Recibo de impuesto predial actual de acuerdo (año en curso).</w:t>
      </w:r>
    </w:p>
    <w:p w14:paraId="01CBEF2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7A15E5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Articulo 28.- </w:t>
      </w:r>
      <w:r w:rsidRPr="00553A55">
        <w:rPr>
          <w:rFonts w:ascii="Arial" w:eastAsia="Calibri" w:hAnsi="Arial" w:cs="Arial"/>
          <w:lang w:val="es-MX"/>
        </w:rPr>
        <w:t>Requisitos que deberá presentar para el pago y otorgamiento de licencias para funcionamiento de establecimientos o locales (por giro).</w:t>
      </w:r>
    </w:p>
    <w:p w14:paraId="54AC0C0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756B875"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Registro federal de contribuyentes;</w:t>
      </w:r>
    </w:p>
    <w:p w14:paraId="04EF537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Recibo de impuesto predial comercial actual de acuerdo con el giro (año en curso);</w:t>
      </w:r>
    </w:p>
    <w:p w14:paraId="6C61085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Recibo de pago de basura anual (año en cuso);</w:t>
      </w:r>
    </w:p>
    <w:p w14:paraId="6188E55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Recibo de pago de agua potable anual (año en curso);</w:t>
      </w:r>
    </w:p>
    <w:p w14:paraId="5BD3133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V. </w:t>
      </w:r>
      <w:r w:rsidRPr="00553A55">
        <w:rPr>
          <w:rFonts w:ascii="Arial" w:eastAsia="Calibri" w:hAnsi="Arial" w:cs="Arial"/>
          <w:lang w:val="es-MX"/>
        </w:rPr>
        <w:t>Copia del contrato de arrendamiento en caso de existir (según sea el caso);</w:t>
      </w:r>
    </w:p>
    <w:p w14:paraId="4B962D2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lastRenderedPageBreak/>
        <w:t xml:space="preserve">VI. </w:t>
      </w:r>
      <w:r w:rsidRPr="00553A55">
        <w:rPr>
          <w:rFonts w:ascii="Arial" w:eastAsia="Calibri" w:hAnsi="Arial" w:cs="Arial"/>
          <w:lang w:val="es-MX"/>
        </w:rPr>
        <w:t>Copia de identificación oficial con fotografía;</w:t>
      </w:r>
    </w:p>
    <w:p w14:paraId="5B4F262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 </w:t>
      </w:r>
      <w:r w:rsidRPr="00553A55">
        <w:rPr>
          <w:rFonts w:ascii="Arial" w:eastAsia="Calibri" w:hAnsi="Arial" w:cs="Arial"/>
          <w:lang w:val="es-MX"/>
        </w:rPr>
        <w:t>Determinación sanitaria municipal (según se requiera);</w:t>
      </w:r>
    </w:p>
    <w:p w14:paraId="0676AE9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VIII. </w:t>
      </w:r>
      <w:r w:rsidRPr="00553A55">
        <w:rPr>
          <w:rFonts w:ascii="Arial" w:eastAsia="Calibri" w:hAnsi="Arial" w:cs="Arial"/>
          <w:lang w:val="es-MX"/>
        </w:rPr>
        <w:t>Determinación sanitaria (según se requiera), y</w:t>
      </w:r>
    </w:p>
    <w:p w14:paraId="121467D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IX. </w:t>
      </w:r>
      <w:r w:rsidRPr="00553A55">
        <w:rPr>
          <w:rFonts w:ascii="Arial" w:eastAsia="Calibri" w:hAnsi="Arial" w:cs="Arial"/>
          <w:lang w:val="es-MX"/>
        </w:rPr>
        <w:t>Pago de uso de suelo (pago se realiza en tesorería con el formato único de pago).</w:t>
      </w:r>
    </w:p>
    <w:p w14:paraId="33E16C0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9FAA4E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Articulo 29.- </w:t>
      </w:r>
      <w:r w:rsidRPr="00553A55">
        <w:rPr>
          <w:rFonts w:ascii="Arial" w:eastAsia="Calibri" w:hAnsi="Arial" w:cs="Arial"/>
          <w:lang w:val="es-MX"/>
        </w:rPr>
        <w:t>Requisitos que deberá presentar para el pago y otorgamiento de licencias para funcionamiento de establecimientos o locales cuyo giro sea la prestación de servicios que incluyan el expendio de bebidas alcohólicas.</w:t>
      </w:r>
    </w:p>
    <w:p w14:paraId="4F9539F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ADE735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1.-</w:t>
      </w:r>
      <w:r w:rsidRPr="00553A55">
        <w:rPr>
          <w:rFonts w:ascii="Arial" w:eastAsia="Calibri" w:hAnsi="Arial" w:cs="Arial"/>
          <w:lang w:val="es-MX"/>
        </w:rPr>
        <w:t xml:space="preserve"> Registro federal de contribuyentes;</w:t>
      </w:r>
    </w:p>
    <w:p w14:paraId="32FC38B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2.-</w:t>
      </w:r>
      <w:r w:rsidRPr="00553A55">
        <w:rPr>
          <w:rFonts w:ascii="Arial" w:eastAsia="Calibri" w:hAnsi="Arial" w:cs="Arial"/>
          <w:lang w:val="es-MX"/>
        </w:rPr>
        <w:t xml:space="preserve"> Recibo de impuesto predial actual (año en curso);</w:t>
      </w:r>
    </w:p>
    <w:p w14:paraId="1119538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3.-</w:t>
      </w:r>
      <w:r w:rsidRPr="00553A55">
        <w:rPr>
          <w:rFonts w:ascii="Arial" w:eastAsia="Calibri" w:hAnsi="Arial" w:cs="Arial"/>
          <w:lang w:val="es-MX"/>
        </w:rPr>
        <w:t xml:space="preserve"> Recibo de pago de basura anual (año en cuso);</w:t>
      </w:r>
    </w:p>
    <w:p w14:paraId="13A508C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4.-</w:t>
      </w:r>
      <w:r w:rsidRPr="00553A55">
        <w:rPr>
          <w:rFonts w:ascii="Arial" w:eastAsia="Calibri" w:hAnsi="Arial" w:cs="Arial"/>
          <w:lang w:val="es-MX"/>
        </w:rPr>
        <w:t xml:space="preserve"> Recibo de pago de agua potable anual (año en curso);</w:t>
      </w:r>
    </w:p>
    <w:p w14:paraId="3D4D90E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5.-</w:t>
      </w:r>
      <w:r w:rsidRPr="00553A55">
        <w:rPr>
          <w:rFonts w:ascii="Arial" w:eastAsia="Calibri" w:hAnsi="Arial" w:cs="Arial"/>
          <w:lang w:val="es-MX"/>
        </w:rPr>
        <w:t xml:space="preserve"> Copia del contrato de arrendamiento (según sea el caso);</w:t>
      </w:r>
    </w:p>
    <w:p w14:paraId="63BBED7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6.-</w:t>
      </w:r>
      <w:r w:rsidRPr="00553A55">
        <w:rPr>
          <w:rFonts w:ascii="Arial" w:eastAsia="Calibri" w:hAnsi="Arial" w:cs="Arial"/>
          <w:lang w:val="es-MX"/>
        </w:rPr>
        <w:t xml:space="preserve"> Copia de identificación oficial con fotografía;</w:t>
      </w:r>
    </w:p>
    <w:p w14:paraId="3B92C7E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7.-</w:t>
      </w:r>
      <w:r w:rsidRPr="00553A55">
        <w:rPr>
          <w:rFonts w:ascii="Arial" w:eastAsia="Calibri" w:hAnsi="Arial" w:cs="Arial"/>
          <w:lang w:val="es-MX"/>
        </w:rPr>
        <w:t xml:space="preserve"> Determinación sanitaria municipal (según se requiera);</w:t>
      </w:r>
    </w:p>
    <w:p w14:paraId="090AB2B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8.-</w:t>
      </w:r>
      <w:r w:rsidRPr="00553A55">
        <w:rPr>
          <w:rFonts w:ascii="Arial" w:eastAsia="Calibri" w:hAnsi="Arial" w:cs="Arial"/>
          <w:lang w:val="es-MX"/>
        </w:rPr>
        <w:t xml:space="preserve"> Determinación sanitaria Estatal (según se requiera), y </w:t>
      </w:r>
    </w:p>
    <w:p w14:paraId="7A7613B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 xml:space="preserve">9.- </w:t>
      </w:r>
      <w:r w:rsidRPr="00553A55">
        <w:rPr>
          <w:rFonts w:ascii="Arial" w:eastAsia="Calibri" w:hAnsi="Arial" w:cs="Arial"/>
          <w:lang w:val="es-MX"/>
        </w:rPr>
        <w:t>Pago de uso de suelo (pago se realiza en tesorería con el formato único de pago).</w:t>
      </w:r>
    </w:p>
    <w:p w14:paraId="1EDFC83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A10094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30.- </w:t>
      </w:r>
      <w:r w:rsidRPr="00553A55">
        <w:rPr>
          <w:rFonts w:ascii="Arial" w:eastAsia="Calibri" w:hAnsi="Arial" w:cs="Arial"/>
          <w:lang w:val="es-MX"/>
        </w:rPr>
        <w:t>Requisitos que deberá presentar para el pago y otorgamiento de la revalidación de licencias de funcionamiento.</w:t>
      </w:r>
    </w:p>
    <w:p w14:paraId="24416800" w14:textId="77777777" w:rsidR="00553A55" w:rsidRPr="00553A55" w:rsidRDefault="00553A55" w:rsidP="00553A55">
      <w:pPr>
        <w:spacing w:line="360" w:lineRule="auto"/>
        <w:jc w:val="both"/>
        <w:rPr>
          <w:rFonts w:ascii="Arial" w:eastAsia="Calibri" w:hAnsi="Arial" w:cs="Arial"/>
          <w:lang w:val="es-MX"/>
        </w:rPr>
      </w:pPr>
    </w:p>
    <w:p w14:paraId="7C3F951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1. </w:t>
      </w:r>
      <w:r w:rsidRPr="00553A55">
        <w:rPr>
          <w:rFonts w:ascii="Arial" w:eastAsia="Calibri" w:hAnsi="Arial" w:cs="Arial"/>
          <w:lang w:val="es-MX"/>
        </w:rPr>
        <w:t>Original de licencia, anuencia o permiso otorgado el año anterior;</w:t>
      </w:r>
    </w:p>
    <w:p w14:paraId="2E47DCC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2. </w:t>
      </w:r>
      <w:r w:rsidRPr="00553A55">
        <w:rPr>
          <w:rFonts w:ascii="Arial" w:eastAsia="Calibri" w:hAnsi="Arial" w:cs="Arial"/>
          <w:lang w:val="es-MX"/>
        </w:rPr>
        <w:t>Registro federal de contribuyentes;</w:t>
      </w:r>
    </w:p>
    <w:p w14:paraId="15ED084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3. </w:t>
      </w:r>
      <w:r w:rsidRPr="00553A55">
        <w:rPr>
          <w:rFonts w:ascii="Arial" w:eastAsia="Calibri" w:hAnsi="Arial" w:cs="Arial"/>
          <w:lang w:val="es-MX"/>
        </w:rPr>
        <w:t>Recibo de impuesto predial actual (año en curso);</w:t>
      </w:r>
    </w:p>
    <w:p w14:paraId="41631A5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4. </w:t>
      </w:r>
      <w:r w:rsidRPr="00553A55">
        <w:rPr>
          <w:rFonts w:ascii="Arial" w:eastAsia="Calibri" w:hAnsi="Arial" w:cs="Arial"/>
          <w:lang w:val="es-MX"/>
        </w:rPr>
        <w:t>Recibo de pago de basura anual (año en cuso);</w:t>
      </w:r>
    </w:p>
    <w:p w14:paraId="11F5EB8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5. </w:t>
      </w:r>
      <w:r w:rsidRPr="00553A55">
        <w:rPr>
          <w:rFonts w:ascii="Arial" w:eastAsia="Calibri" w:hAnsi="Arial" w:cs="Arial"/>
          <w:lang w:val="es-MX"/>
        </w:rPr>
        <w:t>Recibo de pago de agua potable anual (año en curso);</w:t>
      </w:r>
    </w:p>
    <w:p w14:paraId="22583EF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6. </w:t>
      </w:r>
      <w:r w:rsidRPr="00553A55">
        <w:rPr>
          <w:rFonts w:ascii="Arial" w:eastAsia="Calibri" w:hAnsi="Arial" w:cs="Arial"/>
          <w:lang w:val="es-MX"/>
        </w:rPr>
        <w:t>Copia del contrato de arrendamiento (según sea el caso);</w:t>
      </w:r>
    </w:p>
    <w:p w14:paraId="2E73EBF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7. </w:t>
      </w:r>
      <w:r w:rsidRPr="00553A55">
        <w:rPr>
          <w:rFonts w:ascii="Arial" w:eastAsia="Calibri" w:hAnsi="Arial" w:cs="Arial"/>
          <w:lang w:val="es-MX"/>
        </w:rPr>
        <w:t>Copia de identificación oficial con fotografía;</w:t>
      </w:r>
    </w:p>
    <w:p w14:paraId="3030F81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8. </w:t>
      </w:r>
      <w:r w:rsidRPr="00553A55">
        <w:rPr>
          <w:rFonts w:ascii="Arial" w:eastAsia="Calibri" w:hAnsi="Arial" w:cs="Arial"/>
          <w:lang w:val="es-MX"/>
        </w:rPr>
        <w:t>Determinación sanitaria Municipal (según se requiera);</w:t>
      </w:r>
    </w:p>
    <w:p w14:paraId="61AB5B0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9. </w:t>
      </w:r>
      <w:r w:rsidRPr="00553A55">
        <w:rPr>
          <w:rFonts w:ascii="Arial" w:eastAsia="Calibri" w:hAnsi="Arial" w:cs="Arial"/>
          <w:lang w:val="es-MX"/>
        </w:rPr>
        <w:t>Determinación sanitaria Estatal (según se requiera), y</w:t>
      </w:r>
    </w:p>
    <w:p w14:paraId="05CF39D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10. </w:t>
      </w:r>
      <w:r w:rsidRPr="00553A55">
        <w:rPr>
          <w:rFonts w:ascii="Arial" w:eastAsia="Calibri" w:hAnsi="Arial" w:cs="Arial"/>
          <w:lang w:val="es-MX"/>
        </w:rPr>
        <w:t>Pago de uso de suelo (pago se realiza en tesorería con el formato único de pago).</w:t>
      </w:r>
    </w:p>
    <w:p w14:paraId="79EAA5F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9EE3C7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Para la obtención de la licencia de funcionamiento por apertura, las personas físicas o morales deberán presentar:</w:t>
      </w:r>
    </w:p>
    <w:p w14:paraId="03936B2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98214D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1. </w:t>
      </w:r>
      <w:r w:rsidRPr="00553A55">
        <w:rPr>
          <w:rFonts w:ascii="Arial" w:eastAsia="Calibri" w:hAnsi="Arial" w:cs="Arial"/>
          <w:lang w:val="es-MX"/>
        </w:rPr>
        <w:t>Registro federal de contribuyentes;</w:t>
      </w:r>
    </w:p>
    <w:p w14:paraId="1E66C1B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2. </w:t>
      </w:r>
      <w:r w:rsidRPr="00553A55">
        <w:rPr>
          <w:rFonts w:ascii="Arial" w:eastAsia="Calibri" w:hAnsi="Arial" w:cs="Arial"/>
          <w:lang w:val="es-MX"/>
        </w:rPr>
        <w:t>Recibo de impuesto predial comercial actual de acuerdo con el giro (año en curso);</w:t>
      </w:r>
    </w:p>
    <w:p w14:paraId="67217C9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3. </w:t>
      </w:r>
      <w:r w:rsidRPr="00553A55">
        <w:rPr>
          <w:rFonts w:ascii="Arial" w:eastAsia="Calibri" w:hAnsi="Arial" w:cs="Arial"/>
          <w:lang w:val="es-MX"/>
        </w:rPr>
        <w:t>Recibo de pago de basura anual (año en cuso);</w:t>
      </w:r>
    </w:p>
    <w:p w14:paraId="0AB680A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4. </w:t>
      </w:r>
      <w:r w:rsidRPr="00553A55">
        <w:rPr>
          <w:rFonts w:ascii="Arial" w:eastAsia="Calibri" w:hAnsi="Arial" w:cs="Arial"/>
          <w:lang w:val="es-MX"/>
        </w:rPr>
        <w:t>Recibo de pago de agua potable anual (año en curso);</w:t>
      </w:r>
    </w:p>
    <w:p w14:paraId="16727CE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5. </w:t>
      </w:r>
      <w:r w:rsidRPr="00553A55">
        <w:rPr>
          <w:rFonts w:ascii="Arial" w:eastAsia="Calibri" w:hAnsi="Arial" w:cs="Arial"/>
          <w:lang w:val="es-MX"/>
        </w:rPr>
        <w:t>Copia del contrato de arrendamiento en caso de existir (según sea el caso);</w:t>
      </w:r>
    </w:p>
    <w:p w14:paraId="412E9BE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6. </w:t>
      </w:r>
      <w:r w:rsidRPr="00553A55">
        <w:rPr>
          <w:rFonts w:ascii="Arial" w:eastAsia="Calibri" w:hAnsi="Arial" w:cs="Arial"/>
          <w:lang w:val="es-MX"/>
        </w:rPr>
        <w:t>Copia de identificación oficial con fotografía;</w:t>
      </w:r>
    </w:p>
    <w:p w14:paraId="341F118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7. </w:t>
      </w:r>
      <w:r w:rsidRPr="00553A55">
        <w:rPr>
          <w:rFonts w:ascii="Arial" w:eastAsia="Calibri" w:hAnsi="Arial" w:cs="Arial"/>
          <w:lang w:val="es-MX"/>
        </w:rPr>
        <w:t>Determinación sanitaria Municipal (según se requiera);</w:t>
      </w:r>
    </w:p>
    <w:p w14:paraId="26EF6AF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8. </w:t>
      </w:r>
      <w:r w:rsidRPr="00553A55">
        <w:rPr>
          <w:rFonts w:ascii="Arial" w:eastAsia="Calibri" w:hAnsi="Arial" w:cs="Arial"/>
          <w:lang w:val="es-MX"/>
        </w:rPr>
        <w:t>Determinación sanitaria Estatal (según se requiera), y</w:t>
      </w:r>
    </w:p>
    <w:p w14:paraId="49E83FA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9. </w:t>
      </w:r>
      <w:r w:rsidRPr="00553A55">
        <w:rPr>
          <w:rFonts w:ascii="Arial" w:eastAsia="Calibri" w:hAnsi="Arial" w:cs="Arial"/>
          <w:lang w:val="es-MX"/>
        </w:rPr>
        <w:t>Pago de uso de suelo (pago se realiza en Tesorería con el formato único de pago).</w:t>
      </w:r>
    </w:p>
    <w:p w14:paraId="6DDFD2E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EAA8F7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Para la revalidación de la Licencia Municipal de Funcionamiento deberán presentarse los documentos siguientes:</w:t>
      </w:r>
    </w:p>
    <w:p w14:paraId="304F37ED" w14:textId="77777777" w:rsidR="00553A55" w:rsidRPr="00553A55" w:rsidRDefault="00553A55" w:rsidP="00553A55">
      <w:pPr>
        <w:autoSpaceDE w:val="0"/>
        <w:autoSpaceDN w:val="0"/>
        <w:adjustRightInd w:val="0"/>
        <w:spacing w:line="360" w:lineRule="auto"/>
        <w:ind w:firstLine="708"/>
        <w:jc w:val="both"/>
        <w:rPr>
          <w:rFonts w:ascii="Arial" w:eastAsia="Calibri" w:hAnsi="Arial" w:cs="Arial"/>
          <w:lang w:val="es-MX"/>
        </w:rPr>
      </w:pPr>
    </w:p>
    <w:p w14:paraId="6A215B8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1. </w:t>
      </w:r>
      <w:r w:rsidRPr="00553A55">
        <w:rPr>
          <w:rFonts w:ascii="Arial" w:eastAsia="Calibri" w:hAnsi="Arial" w:cs="Arial"/>
          <w:lang w:val="es-MX"/>
        </w:rPr>
        <w:t>Original de licencia, anuencia o permiso otorgado el año anterior;</w:t>
      </w:r>
    </w:p>
    <w:p w14:paraId="1CC25C5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2. </w:t>
      </w:r>
      <w:r w:rsidRPr="00553A55">
        <w:rPr>
          <w:rFonts w:ascii="Arial" w:eastAsia="Calibri" w:hAnsi="Arial" w:cs="Arial"/>
          <w:lang w:val="es-MX"/>
        </w:rPr>
        <w:t>Registro federal de contribuyentes;</w:t>
      </w:r>
    </w:p>
    <w:p w14:paraId="675D0B7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3. </w:t>
      </w:r>
      <w:r w:rsidRPr="00553A55">
        <w:rPr>
          <w:rFonts w:ascii="Arial" w:eastAsia="Calibri" w:hAnsi="Arial" w:cs="Arial"/>
          <w:lang w:val="es-MX"/>
        </w:rPr>
        <w:t>Recibo de impuesto predial actual (año en curso);</w:t>
      </w:r>
    </w:p>
    <w:p w14:paraId="778E6F6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4. </w:t>
      </w:r>
      <w:r w:rsidRPr="00553A55">
        <w:rPr>
          <w:rFonts w:ascii="Arial" w:eastAsia="Calibri" w:hAnsi="Arial" w:cs="Arial"/>
          <w:lang w:val="es-MX"/>
        </w:rPr>
        <w:t>Recibo de pago de basura anual (año en cuso);</w:t>
      </w:r>
    </w:p>
    <w:p w14:paraId="2E53EC8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5. </w:t>
      </w:r>
      <w:r w:rsidRPr="00553A55">
        <w:rPr>
          <w:rFonts w:ascii="Arial" w:eastAsia="Calibri" w:hAnsi="Arial" w:cs="Arial"/>
          <w:lang w:val="es-MX"/>
        </w:rPr>
        <w:t>Recibo de pago de agua potable anual (año en curso);</w:t>
      </w:r>
    </w:p>
    <w:p w14:paraId="64A6B11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6. </w:t>
      </w:r>
      <w:r w:rsidRPr="00553A55">
        <w:rPr>
          <w:rFonts w:ascii="Arial" w:eastAsia="Calibri" w:hAnsi="Arial" w:cs="Arial"/>
          <w:lang w:val="es-MX"/>
        </w:rPr>
        <w:t>Copia del contrato de arrendamiento (según sea el caso);</w:t>
      </w:r>
    </w:p>
    <w:p w14:paraId="69E3BCD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7. </w:t>
      </w:r>
      <w:r w:rsidRPr="00553A55">
        <w:rPr>
          <w:rFonts w:ascii="Arial" w:eastAsia="Calibri" w:hAnsi="Arial" w:cs="Arial"/>
          <w:lang w:val="es-MX"/>
        </w:rPr>
        <w:t>Copia de identificación oficial con fotografía;</w:t>
      </w:r>
    </w:p>
    <w:p w14:paraId="60D0012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8. </w:t>
      </w:r>
      <w:r w:rsidRPr="00553A55">
        <w:rPr>
          <w:rFonts w:ascii="Arial" w:eastAsia="Calibri" w:hAnsi="Arial" w:cs="Arial"/>
          <w:lang w:val="es-MX"/>
        </w:rPr>
        <w:t>Determinación sanitaria Municipal (según se requiera);</w:t>
      </w:r>
    </w:p>
    <w:p w14:paraId="26CA3EB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9. </w:t>
      </w:r>
      <w:r w:rsidRPr="00553A55">
        <w:rPr>
          <w:rFonts w:ascii="Arial" w:eastAsia="Calibri" w:hAnsi="Arial" w:cs="Arial"/>
          <w:lang w:val="es-MX"/>
        </w:rPr>
        <w:t xml:space="preserve">Determinación sanitaria Estatal (según se requiera), y </w:t>
      </w:r>
    </w:p>
    <w:p w14:paraId="37D3E53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10. </w:t>
      </w:r>
      <w:r w:rsidRPr="00553A55">
        <w:rPr>
          <w:rFonts w:ascii="Arial" w:eastAsia="Calibri" w:hAnsi="Arial" w:cs="Arial"/>
          <w:lang w:val="es-MX"/>
        </w:rPr>
        <w:t>Pago de uso de suelo (pago se realiza en Tesorería con el formato único de pago).</w:t>
      </w:r>
    </w:p>
    <w:p w14:paraId="570E464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9ABDC7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Ingresos Ordinarios y Extraordinarios</w:t>
      </w:r>
    </w:p>
    <w:p w14:paraId="313517D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CE195A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31.- </w:t>
      </w:r>
      <w:r w:rsidRPr="00553A55">
        <w:rPr>
          <w:rFonts w:ascii="Arial" w:eastAsia="Calibri" w:hAnsi="Arial" w:cs="Arial"/>
          <w:lang w:val="es-MX"/>
        </w:rPr>
        <w:t>Para los efectos de esta ley, los ingresos serán ordinarios y extraordinarios, los primeros serán tributarios y no tributarios; y los segundos, los no previstos.</w:t>
      </w:r>
    </w:p>
    <w:p w14:paraId="5537517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63CBFE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Serán ordinarios:</w:t>
      </w:r>
    </w:p>
    <w:p w14:paraId="239B0F49"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Los Impuestos;</w:t>
      </w:r>
    </w:p>
    <w:p w14:paraId="0EA61B7F"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Los Derechos;</w:t>
      </w:r>
    </w:p>
    <w:p w14:paraId="15797E8D"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Las Contribuciones de Mejoras;</w:t>
      </w:r>
    </w:p>
    <w:p w14:paraId="70F8AF87"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d) </w:t>
      </w:r>
      <w:r w:rsidRPr="00553A55">
        <w:rPr>
          <w:rFonts w:ascii="Arial" w:eastAsia="Calibri" w:hAnsi="Arial" w:cs="Arial"/>
          <w:lang w:val="es-MX"/>
        </w:rPr>
        <w:t>Los Productos;</w:t>
      </w:r>
    </w:p>
    <w:p w14:paraId="0F72B2C0"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lastRenderedPageBreak/>
        <w:t xml:space="preserve">e) </w:t>
      </w:r>
      <w:r w:rsidRPr="00553A55">
        <w:rPr>
          <w:rFonts w:ascii="Arial" w:eastAsia="Calibri" w:hAnsi="Arial" w:cs="Arial"/>
          <w:lang w:val="es-MX"/>
        </w:rPr>
        <w:t>Los Aprovechamientos;</w:t>
      </w:r>
    </w:p>
    <w:p w14:paraId="3E402806"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f) </w:t>
      </w:r>
      <w:r w:rsidRPr="00553A55">
        <w:rPr>
          <w:rFonts w:ascii="Arial" w:eastAsia="Calibri" w:hAnsi="Arial" w:cs="Arial"/>
          <w:lang w:val="es-MX"/>
        </w:rPr>
        <w:t>Las Participaciones, y</w:t>
      </w:r>
    </w:p>
    <w:p w14:paraId="3E4C3177"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g) </w:t>
      </w:r>
      <w:r w:rsidRPr="00553A55">
        <w:rPr>
          <w:rFonts w:ascii="Arial" w:eastAsia="Calibri" w:hAnsi="Arial" w:cs="Arial"/>
          <w:lang w:val="es-MX"/>
        </w:rPr>
        <w:t>Las Aportaciones.</w:t>
      </w:r>
    </w:p>
    <w:p w14:paraId="0C12806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CD548B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II.-</w:t>
      </w:r>
      <w:r w:rsidRPr="00553A55">
        <w:rPr>
          <w:rFonts w:ascii="Arial" w:eastAsia="Calibri" w:hAnsi="Arial" w:cs="Arial"/>
          <w:lang w:val="es-MX"/>
        </w:rPr>
        <w:t xml:space="preserve"> Serán extraordinarios:</w:t>
      </w:r>
    </w:p>
    <w:p w14:paraId="5D533EA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Los que autorice el Cabildo, en los términos de su competencia y de conformidad a las leyes fiscales, incluyendo los financiamientos;</w:t>
      </w:r>
    </w:p>
    <w:p w14:paraId="5D97E3B6"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Los que autorice el Congreso del Estado, y</w:t>
      </w:r>
    </w:p>
    <w:p w14:paraId="2707A2CC"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Los que reciban del Estado o la Federación por conceptos diferentes a las participaciones y aportaciones.</w:t>
      </w:r>
    </w:p>
    <w:p w14:paraId="6AFD323D" w14:textId="77777777" w:rsidR="00553A55" w:rsidRPr="00553A55" w:rsidRDefault="00553A55" w:rsidP="005B0D13">
      <w:pPr>
        <w:autoSpaceDE w:val="0"/>
        <w:autoSpaceDN w:val="0"/>
        <w:adjustRightInd w:val="0"/>
        <w:jc w:val="both"/>
        <w:rPr>
          <w:rFonts w:ascii="Arial" w:eastAsia="Calibri" w:hAnsi="Arial" w:cs="Arial"/>
          <w:b/>
          <w:bCs/>
          <w:lang w:val="es-MX"/>
        </w:rPr>
      </w:pPr>
    </w:p>
    <w:p w14:paraId="0E7D4EF7"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 los Recargos</w:t>
      </w:r>
    </w:p>
    <w:p w14:paraId="784B167F" w14:textId="77777777" w:rsidR="00553A55" w:rsidRPr="00553A55" w:rsidRDefault="00553A55" w:rsidP="005B0D13">
      <w:pPr>
        <w:autoSpaceDE w:val="0"/>
        <w:autoSpaceDN w:val="0"/>
        <w:adjustRightInd w:val="0"/>
        <w:jc w:val="both"/>
        <w:rPr>
          <w:rFonts w:ascii="Arial" w:eastAsia="Calibri" w:hAnsi="Arial" w:cs="Arial"/>
          <w:b/>
          <w:bCs/>
          <w:lang w:val="es-MX"/>
        </w:rPr>
      </w:pPr>
    </w:p>
    <w:p w14:paraId="73AAEBE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32</w:t>
      </w:r>
      <w:r w:rsidRPr="00553A55">
        <w:rPr>
          <w:rFonts w:ascii="Arial" w:eastAsia="Calibri" w:hAnsi="Arial" w:cs="Arial"/>
          <w:lang w:val="es-MX"/>
        </w:rPr>
        <w:t>.- Los recargos se calcularán y aplicarán en la forma y términos establecidos en el Código Fiscal de la Federación. No causarán recargos las multas no fiscales.</w:t>
      </w:r>
    </w:p>
    <w:p w14:paraId="7F285713" w14:textId="77777777" w:rsidR="00553A55" w:rsidRPr="00553A55" w:rsidRDefault="00553A55" w:rsidP="005B0D13">
      <w:pPr>
        <w:autoSpaceDE w:val="0"/>
        <w:autoSpaceDN w:val="0"/>
        <w:adjustRightInd w:val="0"/>
        <w:jc w:val="both"/>
        <w:rPr>
          <w:rFonts w:ascii="Arial" w:eastAsia="Calibri" w:hAnsi="Arial" w:cs="Arial"/>
          <w:lang w:val="es-MX"/>
        </w:rPr>
      </w:pPr>
    </w:p>
    <w:p w14:paraId="49A17E98"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 la Causa de Recargos</w:t>
      </w:r>
    </w:p>
    <w:p w14:paraId="53826F73" w14:textId="77777777" w:rsidR="00553A55" w:rsidRPr="00553A55" w:rsidRDefault="00553A55" w:rsidP="005B0D13">
      <w:pPr>
        <w:autoSpaceDE w:val="0"/>
        <w:autoSpaceDN w:val="0"/>
        <w:adjustRightInd w:val="0"/>
        <w:jc w:val="both"/>
        <w:rPr>
          <w:rFonts w:ascii="Arial" w:eastAsia="Calibri" w:hAnsi="Arial" w:cs="Arial"/>
          <w:b/>
          <w:bCs/>
          <w:lang w:val="es-MX"/>
        </w:rPr>
      </w:pPr>
    </w:p>
    <w:p w14:paraId="4DFA6DA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33.- </w:t>
      </w:r>
      <w:r w:rsidRPr="00553A55">
        <w:rPr>
          <w:rFonts w:ascii="Arial" w:eastAsia="Calibri" w:hAnsi="Arial" w:cs="Arial"/>
          <w:lang w:val="es-MX"/>
        </w:rPr>
        <w:t>Los recargos se causarán hasta por cinco años y se calcularán sobre el total de las contribuciones o de los créditos fiscales, excluyendo los propios recargos, la indemnización que será siempre del 20% del importe del propio cheque, los gastos de ejecución y multas por infracción a las disposiciones de la presente Ley.</w:t>
      </w:r>
    </w:p>
    <w:p w14:paraId="1B4CDE6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EFD0D9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Los recargos se causarán por cada mes o fracción que transcurra desde el día en que debió hacerse el pago y hasta el día en que el mismo se efectúe.</w:t>
      </w:r>
    </w:p>
    <w:p w14:paraId="7CFFB445" w14:textId="77777777" w:rsidR="00553A55" w:rsidRPr="00553A55" w:rsidRDefault="00553A55" w:rsidP="005B0D13">
      <w:pPr>
        <w:autoSpaceDE w:val="0"/>
        <w:autoSpaceDN w:val="0"/>
        <w:adjustRightInd w:val="0"/>
        <w:jc w:val="both"/>
        <w:rPr>
          <w:rFonts w:ascii="Arial" w:eastAsia="Calibri" w:hAnsi="Arial" w:cs="Arial"/>
          <w:lang w:val="es-MX"/>
        </w:rPr>
      </w:pPr>
    </w:p>
    <w:p w14:paraId="78B3A77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Cuando el pago de las contribuciones o de los créditos fiscales, hubiese sido menor al que corresponda, los recargos se causarán sobre la diferencia.</w:t>
      </w:r>
    </w:p>
    <w:p w14:paraId="1F2D39F5" w14:textId="77777777" w:rsidR="00553A55" w:rsidRPr="00553A55" w:rsidRDefault="00553A55" w:rsidP="005B0D13">
      <w:pPr>
        <w:autoSpaceDE w:val="0"/>
        <w:autoSpaceDN w:val="0"/>
        <w:adjustRightInd w:val="0"/>
        <w:jc w:val="both"/>
        <w:rPr>
          <w:rFonts w:ascii="Arial" w:eastAsia="Calibri" w:hAnsi="Arial" w:cs="Arial"/>
          <w:lang w:val="es-MX"/>
        </w:rPr>
      </w:pPr>
    </w:p>
    <w:p w14:paraId="251533D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los casos de garantía de obligaciones fiscales a cargo de tercero, los recargos se causarán sobre el monto de lo requerido y hasta el límite de lo garantizado, cuando no se pague dentro del plazo legal.</w:t>
      </w:r>
    </w:p>
    <w:p w14:paraId="3973602E" w14:textId="77777777" w:rsidR="00553A55" w:rsidRPr="00553A55" w:rsidRDefault="00553A55" w:rsidP="005B0D13">
      <w:pPr>
        <w:autoSpaceDE w:val="0"/>
        <w:autoSpaceDN w:val="0"/>
        <w:adjustRightInd w:val="0"/>
        <w:jc w:val="both"/>
        <w:rPr>
          <w:rFonts w:ascii="Arial" w:eastAsia="Calibri" w:hAnsi="Arial" w:cs="Arial"/>
          <w:b/>
          <w:bCs/>
          <w:lang w:val="es-MX"/>
        </w:rPr>
      </w:pPr>
    </w:p>
    <w:p w14:paraId="2602537C"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 los Recargos en Pagos Espontáneos</w:t>
      </w:r>
    </w:p>
    <w:p w14:paraId="4249846E" w14:textId="77777777" w:rsidR="00553A55" w:rsidRPr="00553A55" w:rsidRDefault="00553A55" w:rsidP="005B0D13">
      <w:pPr>
        <w:autoSpaceDE w:val="0"/>
        <w:autoSpaceDN w:val="0"/>
        <w:adjustRightInd w:val="0"/>
        <w:jc w:val="both"/>
        <w:rPr>
          <w:rFonts w:ascii="Arial" w:eastAsia="Calibri" w:hAnsi="Arial" w:cs="Arial"/>
          <w:b/>
          <w:bCs/>
          <w:lang w:val="es-MX"/>
        </w:rPr>
      </w:pPr>
    </w:p>
    <w:p w14:paraId="196A354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34.- </w:t>
      </w:r>
      <w:r w:rsidRPr="00553A55">
        <w:rPr>
          <w:rFonts w:ascii="Arial" w:eastAsia="Calibri" w:hAnsi="Arial" w:cs="Arial"/>
          <w:lang w:val="es-MX"/>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1A8A7295" w14:textId="77777777" w:rsidR="00553A55" w:rsidRPr="00553A55" w:rsidRDefault="00553A55" w:rsidP="005B0D13">
      <w:pPr>
        <w:autoSpaceDE w:val="0"/>
        <w:autoSpaceDN w:val="0"/>
        <w:adjustRightInd w:val="0"/>
        <w:jc w:val="both"/>
        <w:rPr>
          <w:rFonts w:ascii="Arial" w:eastAsia="Calibri" w:hAnsi="Arial" w:cs="Arial"/>
          <w:b/>
          <w:bCs/>
          <w:lang w:val="es-MX"/>
        </w:rPr>
      </w:pPr>
    </w:p>
    <w:p w14:paraId="4C5A81C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Artículo 35.- </w:t>
      </w:r>
      <w:r w:rsidRPr="00553A55">
        <w:rPr>
          <w:rFonts w:ascii="Arial" w:eastAsia="Calibri" w:hAnsi="Arial" w:cs="Arial"/>
          <w:lang w:val="es-MX"/>
        </w:rPr>
        <w:t>Todos los bienes que con motivo de un procedimiento de ejecución sean embargados por la autoridad municipal, serán rematados en pública subasta y el producto de la misma, aplicado al pago del crédito fiscal de que se trate, en los términos que establece esta Ley.</w:t>
      </w:r>
    </w:p>
    <w:p w14:paraId="4731FD0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3C586F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caso de que habiéndose publicado la tercera convocatoria para la almoneda, no se presentaren postores, los bienes embargados, se adjudicarán al Municipio de Hunucmá, en pago del adeudo correspondiente, por el valor equivalente al 60 por ciento del valor de su avalúo pericial.</w:t>
      </w:r>
    </w:p>
    <w:p w14:paraId="2BD7376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7A7622F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Para el caso de que el valor de adjudicación no alcanzare a cubrir el adeudo de que se trate, éste se entenderá pagado parcialmente, quedando a salvo los derechos del Municipio, para el cobro del saldo correspondiente.</w:t>
      </w:r>
    </w:p>
    <w:p w14:paraId="2127694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7FFF31E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todo caso se aplicarán a los remates las reglas que para tal efecto fije el Código Fiscal del Estado y en su defecto las del Código Fiscal de la Federación y su reglamento.</w:t>
      </w:r>
    </w:p>
    <w:p w14:paraId="7C29FB40" w14:textId="77777777" w:rsidR="00553A55" w:rsidRPr="00553A55" w:rsidRDefault="00553A55" w:rsidP="005B0D13">
      <w:pPr>
        <w:autoSpaceDE w:val="0"/>
        <w:autoSpaceDN w:val="0"/>
        <w:adjustRightInd w:val="0"/>
        <w:jc w:val="both"/>
        <w:rPr>
          <w:rFonts w:ascii="Arial" w:eastAsia="Calibri" w:hAnsi="Arial" w:cs="Arial"/>
          <w:b/>
          <w:bCs/>
          <w:lang w:val="es-MX"/>
        </w:rPr>
      </w:pPr>
    </w:p>
    <w:p w14:paraId="7198B72A"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Del Cobro de las Multas</w:t>
      </w:r>
    </w:p>
    <w:p w14:paraId="0AB7BC46" w14:textId="77777777" w:rsidR="00553A55" w:rsidRPr="00553A55" w:rsidRDefault="00553A55" w:rsidP="005B0D13">
      <w:pPr>
        <w:autoSpaceDE w:val="0"/>
        <w:autoSpaceDN w:val="0"/>
        <w:adjustRightInd w:val="0"/>
        <w:jc w:val="both"/>
        <w:rPr>
          <w:rFonts w:ascii="Arial" w:eastAsia="Calibri" w:hAnsi="Arial" w:cs="Arial"/>
          <w:b/>
          <w:bCs/>
          <w:lang w:val="es-MX"/>
        </w:rPr>
      </w:pPr>
    </w:p>
    <w:p w14:paraId="45BE803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36.- </w:t>
      </w:r>
      <w:r w:rsidRPr="00553A55">
        <w:rPr>
          <w:rFonts w:ascii="Arial" w:eastAsia="Calibri" w:hAnsi="Arial" w:cs="Arial"/>
          <w:lang w:val="es-MX"/>
        </w:rPr>
        <w:t>Las multas por infracciones a las disposiciones municipales sean éstas de carácter administrativo o fiscal, serán cobradas mediante el procedimiento administrativo de ejecución.</w:t>
      </w:r>
    </w:p>
    <w:p w14:paraId="38491C43" w14:textId="77777777" w:rsidR="00553A55" w:rsidRPr="00553A55" w:rsidRDefault="00553A55" w:rsidP="005B0D13">
      <w:pPr>
        <w:autoSpaceDE w:val="0"/>
        <w:autoSpaceDN w:val="0"/>
        <w:adjustRightInd w:val="0"/>
        <w:jc w:val="both"/>
        <w:rPr>
          <w:rFonts w:ascii="Arial" w:eastAsia="Calibri" w:hAnsi="Arial" w:cs="Arial"/>
          <w:b/>
          <w:bCs/>
          <w:lang w:val="es-MX"/>
        </w:rPr>
      </w:pPr>
    </w:p>
    <w:p w14:paraId="67CE1A38"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 las Unidades de Medida y Actualización</w:t>
      </w:r>
    </w:p>
    <w:p w14:paraId="68D0B50D" w14:textId="77777777" w:rsidR="00553A55" w:rsidRPr="00553A55" w:rsidRDefault="00553A55" w:rsidP="005B0D13">
      <w:pPr>
        <w:autoSpaceDE w:val="0"/>
        <w:autoSpaceDN w:val="0"/>
        <w:adjustRightInd w:val="0"/>
        <w:jc w:val="both"/>
        <w:rPr>
          <w:rFonts w:ascii="Arial" w:eastAsia="Calibri" w:hAnsi="Arial" w:cs="Arial"/>
          <w:b/>
          <w:bCs/>
          <w:lang w:val="es-MX"/>
        </w:rPr>
      </w:pPr>
    </w:p>
    <w:p w14:paraId="29BEA45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Articulo 37.- </w:t>
      </w:r>
      <w:r w:rsidRPr="00553A55">
        <w:rPr>
          <w:rFonts w:ascii="Arial" w:eastAsia="Calibri" w:hAnsi="Arial" w:cs="Arial"/>
          <w:lang w:val="es-MX"/>
        </w:rPr>
        <w:t>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w:t>
      </w:r>
    </w:p>
    <w:p w14:paraId="11B377AC" w14:textId="77777777" w:rsidR="00553A55" w:rsidRPr="00553A55" w:rsidRDefault="00553A55" w:rsidP="005B0D13">
      <w:pPr>
        <w:autoSpaceDE w:val="0"/>
        <w:autoSpaceDN w:val="0"/>
        <w:adjustRightInd w:val="0"/>
        <w:jc w:val="both"/>
        <w:rPr>
          <w:rFonts w:ascii="Arial" w:eastAsia="Calibri" w:hAnsi="Arial" w:cs="Arial"/>
          <w:b/>
          <w:bCs/>
          <w:lang w:val="es-MX"/>
        </w:rPr>
      </w:pPr>
    </w:p>
    <w:p w14:paraId="2D02C1B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TÍTULO SEGUNDO</w:t>
      </w:r>
    </w:p>
    <w:p w14:paraId="5DCDBD0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CONCEPTOS DE INGRESO</w:t>
      </w:r>
    </w:p>
    <w:p w14:paraId="38DA9170" w14:textId="77777777" w:rsidR="00553A55" w:rsidRPr="00553A55" w:rsidRDefault="00553A55" w:rsidP="005B0D13">
      <w:pPr>
        <w:autoSpaceDE w:val="0"/>
        <w:autoSpaceDN w:val="0"/>
        <w:adjustRightInd w:val="0"/>
        <w:jc w:val="center"/>
        <w:rPr>
          <w:rFonts w:ascii="Arial" w:eastAsia="Calibri" w:hAnsi="Arial" w:cs="Arial"/>
          <w:b/>
          <w:bCs/>
          <w:lang w:val="es-MX"/>
        </w:rPr>
      </w:pPr>
    </w:p>
    <w:p w14:paraId="340A36E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I</w:t>
      </w:r>
    </w:p>
    <w:p w14:paraId="06E80A44"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Impuestos</w:t>
      </w:r>
    </w:p>
    <w:p w14:paraId="0EDE92D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0BB42E8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Primera</w:t>
      </w:r>
    </w:p>
    <w:p w14:paraId="1A69C484"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Impuesto Predial</w:t>
      </w:r>
    </w:p>
    <w:p w14:paraId="66A4BCC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8EA899D"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 los sujetos</w:t>
      </w:r>
    </w:p>
    <w:p w14:paraId="38AE20C8" w14:textId="77777777" w:rsidR="00553A55" w:rsidRPr="00553A55" w:rsidRDefault="00553A55" w:rsidP="005B0D13">
      <w:pPr>
        <w:autoSpaceDE w:val="0"/>
        <w:autoSpaceDN w:val="0"/>
        <w:adjustRightInd w:val="0"/>
        <w:jc w:val="both"/>
        <w:rPr>
          <w:rFonts w:ascii="Arial" w:eastAsia="Calibri" w:hAnsi="Arial" w:cs="Arial"/>
          <w:b/>
          <w:bCs/>
          <w:lang w:val="es-MX"/>
        </w:rPr>
      </w:pPr>
    </w:p>
    <w:p w14:paraId="0B2C5CD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38.- </w:t>
      </w:r>
      <w:r w:rsidRPr="00553A55">
        <w:rPr>
          <w:rFonts w:ascii="Arial" w:eastAsia="Calibri" w:hAnsi="Arial" w:cs="Arial"/>
          <w:lang w:val="es-MX"/>
        </w:rPr>
        <w:t>Son sujetos del impuesto predial:</w:t>
      </w:r>
    </w:p>
    <w:p w14:paraId="3FF2892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685AB3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Los propietarios o usufructuarios de inmuebles ubicados en el Municipio de Hunucmá, así como de las construcciones permanentes edificadas en ellos;</w:t>
      </w:r>
    </w:p>
    <w:p w14:paraId="6105257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Los fideicomitentes por todo el tiempo que el fiduciario no transmitiere la propiedad o el uso del inmueble al fideicomisario o a las demás personas que correspondiere, en cumplimiento del contrato de fideicomiso;</w:t>
      </w:r>
    </w:p>
    <w:p w14:paraId="1D7BBFB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Los fideicomisarios, cuando tengan la posesión o el uso del inmueble;</w:t>
      </w:r>
    </w:p>
    <w:p w14:paraId="2F77B09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Los fiduciarios, cuando por virtud del contrato del fideicomiso tengan la posesión o el uso del inmueble, y</w:t>
      </w:r>
    </w:p>
    <w:p w14:paraId="1DBF7A0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Los subarrendadores, cuya base será la diferencia que resulte a su favor entre la contraprestación que recibe y la que paga.</w:t>
      </w:r>
    </w:p>
    <w:p w14:paraId="55B88C0C" w14:textId="77777777" w:rsidR="00553A55" w:rsidRPr="00553A55" w:rsidRDefault="00553A55" w:rsidP="00553A55">
      <w:pPr>
        <w:autoSpaceDE w:val="0"/>
        <w:autoSpaceDN w:val="0"/>
        <w:adjustRightInd w:val="0"/>
        <w:spacing w:line="360" w:lineRule="auto"/>
        <w:jc w:val="center"/>
        <w:rPr>
          <w:rFonts w:ascii="Arial" w:eastAsia="Calibri" w:hAnsi="Arial" w:cs="Arial"/>
          <w:lang w:val="es-MX"/>
        </w:rPr>
      </w:pPr>
    </w:p>
    <w:p w14:paraId="23E182BA" w14:textId="77777777" w:rsidR="00553A55" w:rsidRPr="00553A55" w:rsidRDefault="00553A55" w:rsidP="00553A55">
      <w:pPr>
        <w:autoSpaceDE w:val="0"/>
        <w:autoSpaceDN w:val="0"/>
        <w:adjustRightInd w:val="0"/>
        <w:spacing w:line="360" w:lineRule="auto"/>
        <w:jc w:val="center"/>
        <w:rPr>
          <w:rFonts w:ascii="Arial" w:eastAsia="Calibri" w:hAnsi="Arial" w:cs="Arial"/>
          <w:b/>
          <w:lang w:val="es-MX"/>
        </w:rPr>
      </w:pPr>
      <w:r w:rsidRPr="00553A55">
        <w:rPr>
          <w:rFonts w:ascii="Arial" w:eastAsia="Calibri" w:hAnsi="Arial" w:cs="Arial"/>
          <w:b/>
          <w:lang w:val="es-MX"/>
        </w:rPr>
        <w:t>De los obligados solidarios</w:t>
      </w:r>
    </w:p>
    <w:p w14:paraId="1D60CF4C"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5FD532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39.- </w:t>
      </w:r>
      <w:r w:rsidRPr="00553A55">
        <w:rPr>
          <w:rFonts w:ascii="Arial" w:eastAsia="Calibri" w:hAnsi="Arial" w:cs="Arial"/>
          <w:lang w:val="es-MX"/>
        </w:rPr>
        <w:t>Son sujetos mancomunada y solidariamente responsables del Impuesto Predial:</w:t>
      </w:r>
    </w:p>
    <w:p w14:paraId="026BD00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D1802E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y</w:t>
      </w:r>
    </w:p>
    <w:p w14:paraId="1D34C69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Los empleados de la Dirección de Finanzas y Tesorería Municipal, que formulen certificados de estar al corriente en el pago del impuesto predial, que alteren el importe de los adeudos por este concepto, o los dejen de cobrar.</w:t>
      </w:r>
    </w:p>
    <w:p w14:paraId="0CB2875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7FDCB5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Objeto</w:t>
      </w:r>
    </w:p>
    <w:p w14:paraId="1E6EF38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180F52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40.- </w:t>
      </w:r>
      <w:r w:rsidRPr="00553A55">
        <w:rPr>
          <w:rFonts w:ascii="Arial" w:eastAsia="Calibri" w:hAnsi="Arial" w:cs="Arial"/>
          <w:lang w:val="es-MX"/>
        </w:rPr>
        <w:t>Es objeto del impuesto predial:</w:t>
      </w:r>
    </w:p>
    <w:p w14:paraId="6B49D01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9C0733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La propiedad, el usufructo o la posesión a título distinto de los anteriores, de predios urbanos, rústicos, ejidales y comunales ubicados dentro del territorio municipal;</w:t>
      </w:r>
    </w:p>
    <w:p w14:paraId="3711112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La propiedad y el usufructo, de las construcciones edificadas en los predios señalados en la fracción anterior;</w:t>
      </w:r>
    </w:p>
    <w:p w14:paraId="24CC990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Los derechos de fideicomisario, cuando el inmueble se encuentre en posesión o uso del mismo;</w:t>
      </w:r>
    </w:p>
    <w:p w14:paraId="5818804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Los derechos del fideicomitente, durante el tiempo que el fiduciario estuviera como propietario del inmueble, sin llevar a cabo la transmisión al fideicomiso;</w:t>
      </w:r>
    </w:p>
    <w:p w14:paraId="3EFE2DF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V. </w:t>
      </w:r>
      <w:r w:rsidRPr="00553A55">
        <w:rPr>
          <w:rFonts w:ascii="Arial" w:eastAsia="Calibri" w:hAnsi="Arial" w:cs="Arial"/>
          <w:lang w:val="es-MX"/>
        </w:rPr>
        <w:t>Los derechos de la fiduciaria, en relación con lo dispuesto en el artículo 39 de esta ley, y</w:t>
      </w:r>
    </w:p>
    <w:p w14:paraId="38360E1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La propiedad o posesión por cualquier título de bienes inmuebles del dominio público de la Federación, Estado o Municipio, utilizados o destinados para fines administrativos o propósitos distintos a los de su objeto público.</w:t>
      </w:r>
    </w:p>
    <w:p w14:paraId="0CC8168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7315D28C"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Base: Valor Catastral</w:t>
      </w:r>
    </w:p>
    <w:p w14:paraId="273B2EF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4854EA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41.- </w:t>
      </w:r>
      <w:r w:rsidRPr="00553A55">
        <w:rPr>
          <w:rFonts w:ascii="Arial" w:eastAsia="Calibri" w:hAnsi="Arial" w:cs="Arial"/>
          <w:lang w:val="es-MX"/>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 servicio.</w:t>
      </w:r>
    </w:p>
    <w:p w14:paraId="292690B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789A91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Cuando la dirección de Catastro del Municipio de Hunucmá,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recepción la citada cédula. Lo dispuesto en el párrafo anterior, no se aplicará a los contribuyentes que a la fecha dela recepción de la nueva cédula catastral ya hubieren pagado el impuesto predial correspondiente. En este caso, el nuevo valor consignado en la cédula servirá como base del cálculo del impuesto predial para el siguiente bimestre no cubierto.</w:t>
      </w:r>
    </w:p>
    <w:p w14:paraId="3AD4AD4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8FB8B6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Tarifa</w:t>
      </w:r>
    </w:p>
    <w:p w14:paraId="7520593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50C836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42.- </w:t>
      </w:r>
      <w:r w:rsidRPr="00553A55">
        <w:rPr>
          <w:rFonts w:ascii="Arial" w:eastAsia="Calibri" w:hAnsi="Arial" w:cs="Arial"/>
          <w:lang w:val="es-MX"/>
        </w:rPr>
        <w:t>Cuando la Dirección del Catastro del Municipio de Hunucmá,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cedula respectiva.</w:t>
      </w:r>
    </w:p>
    <w:p w14:paraId="7C19E53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87ACD3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Todo predio destinado a la actividad agropecuaria pagará 10 al millar anual sobre el valor registrado o catastral, sin que la cantidad exceda a lo establecido por la legislación agraria federal para terrenos ejidales.</w:t>
      </w:r>
    </w:p>
    <w:p w14:paraId="6A1E876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03E240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El impuesto predial se causará de acuerdo a la tarifa plasmada en la Ley de Ingresos del Municipio de Hunucmá de cada ejercicio vigente. El cálculo de la cantidad a pagar se realizará de la siguiente manera: </w:t>
      </w:r>
      <w:r w:rsidRPr="00553A55">
        <w:rPr>
          <w:rFonts w:ascii="Arial" w:eastAsia="Calibri" w:hAnsi="Arial" w:cs="Arial"/>
          <w:lang w:val="es-MX"/>
        </w:rPr>
        <w:lastRenderedPageBreak/>
        <w:t>la diferencia entre el valor catastral y el límite inferior se multiplicará por el factor aplicable y el producto obtenido se sumará a la cuota fija anual respectiva.</w:t>
      </w:r>
    </w:p>
    <w:p w14:paraId="5AF9330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5277181" w14:textId="77777777" w:rsidR="00553A55" w:rsidRPr="00553A55" w:rsidRDefault="00553A55" w:rsidP="00553A55">
      <w:pPr>
        <w:autoSpaceDE w:val="0"/>
        <w:autoSpaceDN w:val="0"/>
        <w:adjustRightInd w:val="0"/>
        <w:spacing w:line="360" w:lineRule="auto"/>
        <w:jc w:val="center"/>
        <w:rPr>
          <w:rFonts w:ascii="Arial" w:eastAsia="Calibri" w:hAnsi="Arial" w:cs="Arial"/>
          <w:lang w:val="es-MX"/>
        </w:rPr>
      </w:pPr>
      <w:r w:rsidRPr="00553A55">
        <w:rPr>
          <w:rFonts w:ascii="Arial" w:eastAsia="Calibri" w:hAnsi="Arial" w:cs="Arial"/>
          <w:b/>
          <w:bCs/>
          <w:lang w:val="es-MX"/>
        </w:rPr>
        <w:t>Del Pago</w:t>
      </w:r>
    </w:p>
    <w:p w14:paraId="753A3328"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4C988C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43.- </w:t>
      </w:r>
      <w:r w:rsidRPr="00553A55">
        <w:rPr>
          <w:rFonts w:ascii="Arial" w:eastAsia="Calibri" w:hAnsi="Arial" w:cs="Arial"/>
          <w:lang w:val="es-MX"/>
        </w:rPr>
        <w:t>El impuesto predial sobre la base de valor catastral deberá cubrirse dentro de los primeros quince y cuando el contribuyente pague el impuesto predial correspondiente a una anualidad, durante los meses de enero y febrero de dicho año, gozará del descuento establecido en la Ley de Ingresos vigente sobre el importe de dicho impuesto en los meses de enero febrero, marzo, abril y mayo.</w:t>
      </w:r>
    </w:p>
    <w:p w14:paraId="529229A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C554F0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La tabla de valores unitarios de predios urbanos y rústicos con o sin construcción que de manera general se establecen en esta ley, podrán ser disminuidos, modificados o aumentados en la Ley de Ingresos del Municipio que apruebe el Congreso del Estado de Yucatán.</w:t>
      </w:r>
    </w:p>
    <w:p w14:paraId="7FC4909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2EB9F5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Para ser beneficiario(a) del descuento señalado en el artículo 15 de la Ley de Ingresos del Municipio de Hunucmá, el solicitante podrá demostrar radicación en el municipio presentando copia de su identificación oficial o de su acta de nacimiento. </w:t>
      </w:r>
    </w:p>
    <w:p w14:paraId="144B8B3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1289DF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Exenciones</w:t>
      </w:r>
    </w:p>
    <w:p w14:paraId="7E3FDBAC"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2DB4D5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44.- </w:t>
      </w:r>
      <w:r w:rsidRPr="00553A55">
        <w:rPr>
          <w:rFonts w:ascii="Arial" w:eastAsia="Calibri" w:hAnsi="Arial" w:cs="Arial"/>
          <w:lang w:val="es-MX"/>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623400F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015DA4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6163816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1681B5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51ECE42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7FA152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2009156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786499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Base Contraprestación</w:t>
      </w:r>
    </w:p>
    <w:p w14:paraId="15C2CCE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D3C5F1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45.- </w:t>
      </w:r>
      <w:r w:rsidRPr="00553A55">
        <w:rPr>
          <w:rFonts w:ascii="Arial" w:eastAsia="Calibri" w:hAnsi="Arial" w:cs="Arial"/>
          <w:lang w:val="es-MX"/>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4019AC2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3EE657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impuesto predial sobre la base contraprestación se pagará única y exclusivamente en el caso de que, al determinarse el impuesto conforme a la tarifa establecida en la Ley de Ingresos del Municipio de Hunucmá, Yucatán vigente, diere como resultado un impuesto mayor al que se pagaría sobre la base del valor catastral calculado conforme a la tarifa establecida en la Ley de Ingresos del Municipio de Hunucmá vigente.</w:t>
      </w:r>
    </w:p>
    <w:p w14:paraId="5BB6F4B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4D63D8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No será aplicada esta base cuando los inmuebles sean destinados a sanatorios de beneficencia y centros de enseñanza reconocidos por la autoridad educativa correspondiente.</w:t>
      </w:r>
    </w:p>
    <w:p w14:paraId="7A0387AF" w14:textId="438060ED" w:rsidR="00553A55" w:rsidRPr="00553A55" w:rsidRDefault="005B0D13" w:rsidP="00553A55">
      <w:pPr>
        <w:autoSpaceDE w:val="0"/>
        <w:autoSpaceDN w:val="0"/>
        <w:adjustRightInd w:val="0"/>
        <w:spacing w:line="360" w:lineRule="auto"/>
        <w:jc w:val="both"/>
        <w:rPr>
          <w:rFonts w:ascii="Arial" w:eastAsia="Calibri" w:hAnsi="Arial" w:cs="Arial"/>
          <w:b/>
          <w:bCs/>
          <w:lang w:val="es-MX"/>
        </w:rPr>
      </w:pPr>
      <w:r>
        <w:rPr>
          <w:rFonts w:ascii="Arial" w:eastAsia="Calibri" w:hAnsi="Arial" w:cs="Arial"/>
          <w:b/>
          <w:bCs/>
          <w:lang w:val="es-MX"/>
        </w:rPr>
        <w:br w:type="column"/>
      </w:r>
    </w:p>
    <w:p w14:paraId="7479396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las Obligaciones del Contribuyente.</w:t>
      </w:r>
    </w:p>
    <w:p w14:paraId="699B6BB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A7F78B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46.- </w:t>
      </w:r>
      <w:r w:rsidRPr="00553A55">
        <w:rPr>
          <w:rFonts w:ascii="Arial" w:eastAsia="Calibri" w:hAnsi="Arial" w:cs="Arial"/>
          <w:lang w:val="es-MX"/>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14:paraId="5745B66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874602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Cualquier cambio en el monto de la contraprestación que generó el pago del impuesto predial sobre la base, será notificado a la Tesorería Municipal, en un plazo de quince días, contados a partir de la fecha en que surta efectos la modificación respectiva. </w:t>
      </w:r>
    </w:p>
    <w:p w14:paraId="139A330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DA4727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igual forma, deberá notificarse la terminación de la relación jurídica que dio lugar a la contraprestación mencionada, a efecto de que la autoridad determine el impuesto predial sobre la base del valor catastral.</w:t>
      </w:r>
    </w:p>
    <w:p w14:paraId="48C8917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181E96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Cuando de un inmueble formen parte dos o más departamentos y éstos se encontraren en cualquiera de los supuestos (arrendamiento, subarrendamiento, convenio de desocupación o cualquier otro título o instrumento jurídico por virtud del cual se permitiere su uso) de esta ley, el contribuyente deberá empadronarse por cada departamento.</w:t>
      </w:r>
    </w:p>
    <w:p w14:paraId="7FE33C4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B8D3EC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esta ley, estarán obligados a entregar una copia simple del mismo a la Tesorería Municipal, en un plazo de treinta días, contados a partir de la fecha del otorgamiento, de la firma o de la ratificación del documento respectivo.</w:t>
      </w:r>
    </w:p>
    <w:p w14:paraId="04AEF67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731413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Tarifa</w:t>
      </w:r>
    </w:p>
    <w:p w14:paraId="479EBD1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FC9998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47.- </w:t>
      </w:r>
      <w:r w:rsidRPr="00553A55">
        <w:rPr>
          <w:rFonts w:ascii="Arial" w:eastAsia="Calibri" w:hAnsi="Arial" w:cs="Arial"/>
          <w:lang w:val="es-MX"/>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Hunucmá, Yucatán, vigente.</w:t>
      </w:r>
    </w:p>
    <w:p w14:paraId="64131539" w14:textId="2F133266" w:rsidR="00553A55" w:rsidRPr="00553A55" w:rsidRDefault="005B0D13" w:rsidP="00553A55">
      <w:pPr>
        <w:autoSpaceDE w:val="0"/>
        <w:autoSpaceDN w:val="0"/>
        <w:adjustRightInd w:val="0"/>
        <w:spacing w:line="360" w:lineRule="auto"/>
        <w:jc w:val="both"/>
        <w:rPr>
          <w:rFonts w:ascii="Arial" w:eastAsia="Calibri" w:hAnsi="Arial" w:cs="Arial"/>
          <w:b/>
          <w:bCs/>
          <w:lang w:val="es-MX"/>
        </w:rPr>
      </w:pPr>
      <w:r>
        <w:rPr>
          <w:rFonts w:ascii="Arial" w:eastAsia="Calibri" w:hAnsi="Arial" w:cs="Arial"/>
          <w:b/>
          <w:bCs/>
          <w:lang w:val="es-MX"/>
        </w:rPr>
        <w:br w:type="column"/>
      </w:r>
    </w:p>
    <w:p w14:paraId="4B22155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Pago</w:t>
      </w:r>
    </w:p>
    <w:p w14:paraId="759A223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5208AB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48.- </w:t>
      </w:r>
      <w:r w:rsidRPr="00553A55">
        <w:rPr>
          <w:rFonts w:ascii="Arial" w:eastAsia="Calibri"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3C76D21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567AC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Que sea exigible el pago de la contraprestación;</w:t>
      </w:r>
    </w:p>
    <w:p w14:paraId="655F0CD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Que se expida el comprobante de la misma, y</w:t>
      </w:r>
    </w:p>
    <w:p w14:paraId="0A7DB38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Que se cobre el monto pactado por el uso o goce.</w:t>
      </w:r>
    </w:p>
    <w:p w14:paraId="135C5CA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95BC8D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Salvo el caso en que los propietarios, usufructuarios, fideicomisarios o fideicomitentes estuviesen siguiendo un procedimiento judicial para el cobro de la contraprestación pactada, en contra del ocupante o arrendatario.</w:t>
      </w:r>
    </w:p>
    <w:p w14:paraId="3133B25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74DD18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F6D0A8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539C3FF"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las Obligaciones de Terceros</w:t>
      </w:r>
    </w:p>
    <w:p w14:paraId="5420D74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AF020E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49.- </w:t>
      </w:r>
      <w:r w:rsidRPr="00553A55">
        <w:rPr>
          <w:rFonts w:ascii="Arial" w:eastAsia="Calibri" w:hAnsi="Arial" w:cs="Arial"/>
          <w:lang w:val="es-MX"/>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14:paraId="392C054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8D3652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10DDA79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273652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Los contratos, convenios o cualquier otro título o instrumento jurídico que no cumplan con el requisito mencionado en el párrafo anterior, no se inscribirán en el Registro Público de la Propiedad y de Comercio del Estado.</w:t>
      </w:r>
    </w:p>
    <w:p w14:paraId="3FFCA1C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9D7E90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La Tesorería Municipal, expedirá los certificados de no adeudar impuesto predial, conforme a la solicitud que por escrito presente el interesado, quien deberá señalar el inmueble, el bimestre y el año, respecto de los cuales solicite la certificación. Cada Tesorería emitirá la forma correspondiente para solicitar el certificado mencionado en el párrafo que antecede.</w:t>
      </w:r>
    </w:p>
    <w:p w14:paraId="4B1363D2" w14:textId="77777777" w:rsidR="00553A55" w:rsidRPr="00553A55" w:rsidRDefault="00553A55" w:rsidP="005B0D13">
      <w:pPr>
        <w:autoSpaceDE w:val="0"/>
        <w:autoSpaceDN w:val="0"/>
        <w:adjustRightInd w:val="0"/>
        <w:jc w:val="center"/>
        <w:rPr>
          <w:rFonts w:ascii="Arial" w:eastAsia="Calibri" w:hAnsi="Arial" w:cs="Arial"/>
          <w:lang w:val="es-MX"/>
        </w:rPr>
      </w:pPr>
    </w:p>
    <w:p w14:paraId="41E9448F"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Segunda</w:t>
      </w:r>
    </w:p>
    <w:p w14:paraId="2CF7F08D"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Del Impuesto sobre Adquisición de Inmuebles</w:t>
      </w:r>
    </w:p>
    <w:p w14:paraId="3ED41974" w14:textId="77777777" w:rsidR="00553A55" w:rsidRPr="00553A55" w:rsidRDefault="00553A55" w:rsidP="005B0D13">
      <w:pPr>
        <w:autoSpaceDE w:val="0"/>
        <w:autoSpaceDN w:val="0"/>
        <w:adjustRightInd w:val="0"/>
        <w:jc w:val="center"/>
        <w:rPr>
          <w:rFonts w:ascii="Arial" w:eastAsia="Calibri" w:hAnsi="Arial" w:cs="Arial"/>
          <w:b/>
          <w:bCs/>
          <w:lang w:val="es-MX"/>
        </w:rPr>
      </w:pPr>
    </w:p>
    <w:p w14:paraId="69E154E0"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 los Sujetos</w:t>
      </w:r>
    </w:p>
    <w:p w14:paraId="0481F82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918F34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50.- </w:t>
      </w:r>
      <w:r w:rsidRPr="00553A55">
        <w:rPr>
          <w:rFonts w:ascii="Arial" w:eastAsia="Calibri" w:hAnsi="Arial" w:cs="Arial"/>
          <w:lang w:val="es-MX"/>
        </w:rPr>
        <w:t>Son sujetos de este impuesto, las personas físicas o morales que adquieran inmuebles, en términos de las disposiciones de este capítulo con excepción de los enajenantes.</w:t>
      </w:r>
    </w:p>
    <w:p w14:paraId="1D39330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66827C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54CBD882" w14:textId="77777777" w:rsidR="00553A55" w:rsidRPr="00553A55" w:rsidRDefault="00553A55" w:rsidP="005B0D13">
      <w:pPr>
        <w:autoSpaceDE w:val="0"/>
        <w:autoSpaceDN w:val="0"/>
        <w:adjustRightInd w:val="0"/>
        <w:jc w:val="both"/>
        <w:rPr>
          <w:rFonts w:ascii="Arial" w:eastAsia="Calibri" w:hAnsi="Arial" w:cs="Arial"/>
          <w:b/>
          <w:bCs/>
          <w:lang w:val="es-MX"/>
        </w:rPr>
      </w:pPr>
    </w:p>
    <w:p w14:paraId="2B3DE8C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Obligados Solidarios</w:t>
      </w:r>
    </w:p>
    <w:p w14:paraId="0118670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03427C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51.- </w:t>
      </w:r>
      <w:r w:rsidRPr="00553A55">
        <w:rPr>
          <w:rFonts w:ascii="Arial" w:eastAsia="Calibri" w:hAnsi="Arial" w:cs="Arial"/>
          <w:lang w:val="es-MX"/>
        </w:rPr>
        <w:t>Son sujetos solidariamente responsables del pago del Impuesto Sobre Adquisición de Inmuebles:</w:t>
      </w:r>
    </w:p>
    <w:p w14:paraId="0BE66FF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261E29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Los fedatarios públicos y las personas que por disposición legal tengan funciones notariales, cuando autoricen una escritura que contenga alguno de los supuestos que se relacionan en el artículo 56 de la presente Ley y no hubiesen constatado el pago del impuesto, y</w:t>
      </w:r>
    </w:p>
    <w:p w14:paraId="203F394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w:t>
      </w:r>
    </w:p>
    <w:p w14:paraId="34851646" w14:textId="77777777" w:rsidR="00553A55" w:rsidRPr="00553A55" w:rsidRDefault="00553A55" w:rsidP="005B0D13">
      <w:pPr>
        <w:autoSpaceDE w:val="0"/>
        <w:autoSpaceDN w:val="0"/>
        <w:adjustRightInd w:val="0"/>
        <w:jc w:val="both"/>
        <w:rPr>
          <w:rFonts w:ascii="Arial" w:eastAsia="Calibri" w:hAnsi="Arial" w:cs="Arial"/>
          <w:b/>
          <w:bCs/>
          <w:lang w:val="es-MX"/>
        </w:rPr>
      </w:pPr>
    </w:p>
    <w:p w14:paraId="70B4437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Objeto</w:t>
      </w:r>
    </w:p>
    <w:p w14:paraId="4E8D587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F87342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52.- </w:t>
      </w:r>
      <w:r w:rsidRPr="00553A55">
        <w:rPr>
          <w:rFonts w:ascii="Arial" w:eastAsia="Calibri" w:hAnsi="Arial" w:cs="Arial"/>
          <w:lang w:val="es-MX"/>
        </w:rPr>
        <w:t>Es objeto del Impuesto Sobre Adquisición de Inmuebles, toda adquisición del dominio de bienes inmuebles, que consistan en el suelo, en las construcciones adheridas a él, en ambos, o de derechos sobre los mismos, ubicados en el Municipio de Hunucmá.</w:t>
      </w:r>
    </w:p>
    <w:p w14:paraId="20E7B59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742E7FB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lastRenderedPageBreak/>
        <w:t>Para efectos de este Impuesto, se entiende por adquisición:</w:t>
      </w:r>
    </w:p>
    <w:p w14:paraId="36E6F7E9"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5C16A8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Todo acto por el que se adquiera la propiedad, incluyendo la donación, la adjudicación por herencia o legado y la aportación a toda clase de personas morales;</w:t>
      </w:r>
    </w:p>
    <w:p w14:paraId="781FADE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La compraventa en la que el vendedor se reserve la propiedad del inmueble, aun cuando la transferencia de ésta se realice con posterioridad;</w:t>
      </w:r>
    </w:p>
    <w:p w14:paraId="72605FD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7649E05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 xml:space="preserve">La cesión de derechos del comprador o del futuro comprador, en los casos de las fracciones </w:t>
      </w:r>
      <w:r w:rsidRPr="00553A55">
        <w:rPr>
          <w:rFonts w:ascii="Arial" w:eastAsia="Calibri" w:hAnsi="Arial" w:cs="Arial"/>
          <w:b/>
          <w:lang w:val="es-MX"/>
        </w:rPr>
        <w:t>II</w:t>
      </w:r>
      <w:r w:rsidRPr="00553A55">
        <w:rPr>
          <w:rFonts w:ascii="Arial" w:eastAsia="Calibri" w:hAnsi="Arial" w:cs="Arial"/>
          <w:lang w:val="es-MX"/>
        </w:rPr>
        <w:t xml:space="preserve"> y </w:t>
      </w:r>
      <w:r w:rsidRPr="00553A55">
        <w:rPr>
          <w:rFonts w:ascii="Arial" w:eastAsia="Calibri" w:hAnsi="Arial" w:cs="Arial"/>
          <w:b/>
          <w:lang w:val="es-MX"/>
        </w:rPr>
        <w:t>III</w:t>
      </w:r>
      <w:r w:rsidRPr="00553A55">
        <w:rPr>
          <w:rFonts w:ascii="Arial" w:eastAsia="Calibri" w:hAnsi="Arial" w:cs="Arial"/>
          <w:lang w:val="es-MX"/>
        </w:rPr>
        <w:t xml:space="preserve"> que anteceden;</w:t>
      </w:r>
    </w:p>
    <w:p w14:paraId="0B2F979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La fusión o escisión de sociedades;</w:t>
      </w:r>
    </w:p>
    <w:p w14:paraId="3BD626D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La dación en pago y la liquidación, reducción de capital, pago en especie de remanentes, utilidades o dividendos de asociaciones o sociedades civiles y mercantiles;</w:t>
      </w:r>
    </w:p>
    <w:p w14:paraId="219CAA1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 </w:t>
      </w:r>
      <w:r w:rsidRPr="00553A55">
        <w:rPr>
          <w:rFonts w:ascii="Arial" w:eastAsia="Calibri" w:hAnsi="Arial" w:cs="Arial"/>
          <w:lang w:val="es-MX"/>
        </w:rPr>
        <w:t>La constitución de usufructo y la adquisición del derecho de ejercicio del mismo;</w:t>
      </w:r>
    </w:p>
    <w:p w14:paraId="1235559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VIII. </w:t>
      </w:r>
      <w:r w:rsidRPr="00553A55">
        <w:rPr>
          <w:rFonts w:ascii="Arial" w:eastAsia="Calibri" w:hAnsi="Arial" w:cs="Arial"/>
          <w:lang w:val="es-MX"/>
        </w:rPr>
        <w:t>La prescripción positiva;</w:t>
      </w:r>
    </w:p>
    <w:p w14:paraId="2320A47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IX. </w:t>
      </w:r>
      <w:r w:rsidRPr="00553A55">
        <w:rPr>
          <w:rFonts w:ascii="Arial" w:eastAsia="Calibri" w:hAnsi="Arial" w:cs="Arial"/>
          <w:lang w:val="es-MX"/>
        </w:rPr>
        <w:t>La cesión de derechos del heredero o legatario;</w:t>
      </w:r>
    </w:p>
    <w:p w14:paraId="3653698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X. </w:t>
      </w:r>
      <w:r w:rsidRPr="00553A55">
        <w:rPr>
          <w:rFonts w:ascii="Arial" w:eastAsia="Calibri" w:hAnsi="Arial" w:cs="Arial"/>
          <w:lang w:val="es-MX"/>
        </w:rPr>
        <w:t>La renuncia o repudio de la herencia o del legado, efectuado después del reconocimiento de herederos y legatarios;</w:t>
      </w:r>
    </w:p>
    <w:p w14:paraId="39049EF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XI. </w:t>
      </w:r>
      <w:r w:rsidRPr="00553A55">
        <w:rPr>
          <w:rFonts w:ascii="Arial" w:eastAsia="Calibri" w:hAnsi="Arial" w:cs="Arial"/>
          <w:lang w:val="es-MX"/>
        </w:rPr>
        <w:t>La adquisición que se realice a través de un contrato de fideicomiso, en los términos de los supuestos relacionados en el Código Fiscal de la Federación;</w:t>
      </w:r>
    </w:p>
    <w:p w14:paraId="0153165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XII. </w:t>
      </w:r>
      <w:r w:rsidRPr="00553A55">
        <w:rPr>
          <w:rFonts w:ascii="Arial" w:eastAsia="Calibri" w:hAnsi="Arial" w:cs="Arial"/>
          <w:lang w:val="es-MX"/>
        </w:rPr>
        <w:t>La disolución de la copropiedad y de la sociedad conyugal, por la parte que el copropietario o el cónyuge adquiera en demasía del valor de la porción que le corresponde;</w:t>
      </w:r>
    </w:p>
    <w:p w14:paraId="6B8BD7D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XIII. </w:t>
      </w:r>
      <w:r w:rsidRPr="00553A55">
        <w:rPr>
          <w:rFonts w:ascii="Arial" w:eastAsia="Calibri" w:hAnsi="Arial" w:cs="Arial"/>
          <w:lang w:val="es-MX"/>
        </w:rPr>
        <w:t>La adquisición de la propiedad de bienes inmuebles, en virtud de remate judicial o administrativo;</w:t>
      </w:r>
    </w:p>
    <w:p w14:paraId="6EE38E8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XIV. </w:t>
      </w:r>
      <w:r w:rsidRPr="00553A55">
        <w:rPr>
          <w:rFonts w:ascii="Arial" w:eastAsia="Calibri" w:hAnsi="Arial" w:cs="Arial"/>
          <w:lang w:val="es-MX"/>
        </w:rPr>
        <w:t xml:space="preserve">En los casos de permuta se considerará que se efectúan dos adquisiciones, y </w:t>
      </w:r>
    </w:p>
    <w:p w14:paraId="2AE06E9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XV. </w:t>
      </w:r>
      <w:r w:rsidRPr="00553A55">
        <w:rPr>
          <w:rFonts w:ascii="Arial" w:eastAsia="Calibri" w:hAnsi="Arial" w:cs="Arial"/>
          <w:lang w:val="es-MX"/>
        </w:rPr>
        <w:t>La devolución de la propiedad de bienes inmuebles, a consecuencia de la rescisión o terminación del contrato que le da origen, por mutuo acuerdo, así como por procedimientos judiciales o administrativos.</w:t>
      </w:r>
    </w:p>
    <w:p w14:paraId="7EFFA00C"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FABDC9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las Exenciones</w:t>
      </w:r>
    </w:p>
    <w:p w14:paraId="6F3ADDA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0573EF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53.- </w:t>
      </w:r>
      <w:r w:rsidRPr="00553A55">
        <w:rPr>
          <w:rFonts w:ascii="Arial" w:eastAsia="Calibri" w:hAnsi="Arial" w:cs="Arial"/>
          <w:lang w:val="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14:paraId="6E17732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4A98ED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La transformación de sociedades, con excepción de la fusión;</w:t>
      </w:r>
    </w:p>
    <w:p w14:paraId="47D88DE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En la adquisición que realicen los Estados Extranjeros, en los casos que existiera reciprocidad;</w:t>
      </w:r>
    </w:p>
    <w:p w14:paraId="59C9275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Cuando se adquiera la propiedad de Inmuebles, con motivo de la constitución de la sociedad conyugal;</w:t>
      </w:r>
    </w:p>
    <w:p w14:paraId="14F8276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La disolución de la copropiedad, siempre que las partes adjudicadas no excedan de las porciones que a cada uno de los copropietarios corresponda. En caso contrario, deberá pagarse el impuesto sobre el exceso o la diferencia;</w:t>
      </w:r>
    </w:p>
    <w:p w14:paraId="0F0D581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Cuando se adquieran inmuebles por herencia o legado, y</w:t>
      </w:r>
    </w:p>
    <w:p w14:paraId="0DFA305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La donación entre consortes, ascendientes o descendientes en línea directa, previa comprobación del parentesco ante la Tesorería Municipal.</w:t>
      </w:r>
    </w:p>
    <w:p w14:paraId="521E6C3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429C98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Base</w:t>
      </w:r>
    </w:p>
    <w:p w14:paraId="02241FB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EE0D49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54.- </w:t>
      </w:r>
      <w:r w:rsidRPr="00553A55">
        <w:rPr>
          <w:rFonts w:ascii="Arial" w:eastAsia="Calibri" w:hAnsi="Arial" w:cs="Arial"/>
          <w:lang w:val="es-MX"/>
        </w:rPr>
        <w:t>La base del Impuesto Sobre Adquisición de Inmuebles, será el valor que resulte mayor entre el precio de adquisición, el valor contenido en la cédula catastral vigente, el valor contenido en el avalúo pericial tratándose de las operaciones consignadas (La cesión de derechos del heredero o legatario, La disolución de la copropiedad y de la sociedad conyugal y La adquisición de la propiedad de bienes inmuebles, en virtud de remate judicial o administrativo) en esta ley, el avalúo expedido por las autoridades fiscales, las Instituciones de Crédito, la Comisión de Avalúos de Bienes Nacionales o por corredor público o perito valuador que se registre en la Tesorería Municipal, previo cumplimiento de los siguientes requisitos:</w:t>
      </w:r>
    </w:p>
    <w:p w14:paraId="5248986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60B4EF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Ser ciudadano mexicano en pleno goce de sus derechos, y</w:t>
      </w:r>
    </w:p>
    <w:p w14:paraId="3AE1C96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Acreditar con documentación fehaciente, experiencia valuatoria mínima de tres años inmediatos anteriores a la fecha de solicitud de registro.</w:t>
      </w:r>
    </w:p>
    <w:p w14:paraId="02F9371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Cuando el adquiriente asuma la obligación de pagar alguna deuda del enajenante o de perdonarla, el importe de dicha deuda, se considerará parte del precio pactado. En todos los casos relacionados con el artículo 53, se deberá practicar avalúo sobre los inmuebles objetos de las operaciones consignadas en ese artículo y a ellos deberá anexarse el resumen valuatorio que contendrá:</w:t>
      </w:r>
    </w:p>
    <w:p w14:paraId="2DC219D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A65E2F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r w:rsidRPr="00553A55">
        <w:rPr>
          <w:rFonts w:ascii="Arial" w:eastAsia="Calibri" w:hAnsi="Arial" w:cs="Arial"/>
          <w:b/>
          <w:bCs/>
          <w:lang w:val="es-MX"/>
        </w:rPr>
        <w:t>I.- ANTECEDENTES:</w:t>
      </w:r>
    </w:p>
    <w:p w14:paraId="01C1CFE4"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Valuador;</w:t>
      </w:r>
    </w:p>
    <w:p w14:paraId="0351185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Registro Municipal, y</w:t>
      </w:r>
    </w:p>
    <w:p w14:paraId="591FE2D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Fecha de Avalúo.</w:t>
      </w:r>
    </w:p>
    <w:p w14:paraId="374EB1D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1093F79"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r w:rsidRPr="00553A55">
        <w:rPr>
          <w:rFonts w:ascii="Arial" w:eastAsia="Calibri" w:hAnsi="Arial" w:cs="Arial"/>
          <w:b/>
          <w:bCs/>
          <w:lang w:val="es-MX"/>
        </w:rPr>
        <w:t>II.- UBICACIÓN:</w:t>
      </w:r>
    </w:p>
    <w:p w14:paraId="3AD4F1E7"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Localidad;</w:t>
      </w:r>
    </w:p>
    <w:p w14:paraId="165108CE"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Sección Catastral;</w:t>
      </w:r>
    </w:p>
    <w:p w14:paraId="3DCB912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Calle y Número;</w:t>
      </w:r>
    </w:p>
    <w:p w14:paraId="458CD94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d) </w:t>
      </w:r>
      <w:r w:rsidRPr="00553A55">
        <w:rPr>
          <w:rFonts w:ascii="Arial" w:eastAsia="Calibri" w:hAnsi="Arial" w:cs="Arial"/>
          <w:lang w:val="es-MX"/>
        </w:rPr>
        <w:t>Colonia, y</w:t>
      </w:r>
    </w:p>
    <w:p w14:paraId="4778CE57"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e) </w:t>
      </w:r>
      <w:r w:rsidRPr="00553A55">
        <w:rPr>
          <w:rFonts w:ascii="Arial" w:eastAsia="Calibri" w:hAnsi="Arial" w:cs="Arial"/>
          <w:lang w:val="es-MX"/>
        </w:rPr>
        <w:t>Observaciones (en su caso).</w:t>
      </w:r>
    </w:p>
    <w:p w14:paraId="0090AD0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949F18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r w:rsidRPr="00553A55">
        <w:rPr>
          <w:rFonts w:ascii="Arial" w:eastAsia="Calibri" w:hAnsi="Arial" w:cs="Arial"/>
          <w:b/>
          <w:bCs/>
          <w:lang w:val="es-MX"/>
        </w:rPr>
        <w:t>III.- RESUMEN VALUATORIO:</w:t>
      </w:r>
    </w:p>
    <w:p w14:paraId="34C4A789"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TERRENO </w:t>
      </w:r>
      <w:r w:rsidRPr="00553A55">
        <w:rPr>
          <w:rFonts w:ascii="Arial" w:eastAsia="Calibri" w:hAnsi="Arial" w:cs="Arial"/>
          <w:lang w:val="es-MX"/>
        </w:rPr>
        <w:t>1) Superficie Total M2 2) Valor Unitario 3) Valor del terreno</w:t>
      </w:r>
    </w:p>
    <w:p w14:paraId="775BF4A1"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CONSTRUCCIÓN </w:t>
      </w:r>
      <w:r w:rsidRPr="00553A55">
        <w:rPr>
          <w:rFonts w:ascii="Arial" w:eastAsia="Calibri" w:hAnsi="Arial" w:cs="Arial"/>
          <w:lang w:val="es-MX"/>
        </w:rPr>
        <w:t>1) Superficie Total M2 2) Valor Unitario 3) Valor Comercial</w:t>
      </w:r>
    </w:p>
    <w:p w14:paraId="1DC4B7B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EC9428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IV.- UNIDAD CONDOMINAL</w:t>
      </w:r>
      <w:r w:rsidRPr="00553A55">
        <w:rPr>
          <w:rFonts w:ascii="Arial" w:eastAsia="Calibri" w:hAnsi="Arial" w:cs="Arial"/>
          <w:lang w:val="es-MX"/>
        </w:rPr>
        <w:t>:</w:t>
      </w:r>
    </w:p>
    <w:p w14:paraId="2A08D98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1) Superficie Privativa M2</w:t>
      </w:r>
    </w:p>
    <w:p w14:paraId="308CFBC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2) Valor Unitario</w:t>
      </w:r>
    </w:p>
    <w:p w14:paraId="2BA32FC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3) Valor Comercial</w:t>
      </w:r>
    </w:p>
    <w:p w14:paraId="2E6C80C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395B8A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14:paraId="71D8938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CA0DE9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Para los efectos del presente artículo, el usufructo y la nuda propiedad tienen cada uno el valor equivalente al .5 del valor de la propiedad.</w:t>
      </w:r>
    </w:p>
    <w:p w14:paraId="6287147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73286D5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0F6D20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7E5593F"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Vigencia de los Avalúos</w:t>
      </w:r>
    </w:p>
    <w:p w14:paraId="449DB0F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09A967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55.- </w:t>
      </w:r>
      <w:r w:rsidRPr="00553A55">
        <w:rPr>
          <w:rFonts w:ascii="Arial" w:eastAsia="Calibri" w:hAnsi="Arial" w:cs="Arial"/>
          <w:lang w:val="es-MX"/>
        </w:rPr>
        <w:t>Los avalúos que se practiquen para el efecto del pago del Impuesto Sobre Adquisición de Bienes Inmuebles, tendrán una vigencia de seis meses a partir de la fecha de su expedición.</w:t>
      </w:r>
    </w:p>
    <w:p w14:paraId="758C6AC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6E8B8F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90BEA5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Tasa</w:t>
      </w:r>
    </w:p>
    <w:p w14:paraId="692AD27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AD81F0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56</w:t>
      </w:r>
      <w:r w:rsidRPr="00553A55">
        <w:rPr>
          <w:rFonts w:ascii="Arial" w:eastAsia="Calibri" w:hAnsi="Arial" w:cs="Arial"/>
          <w:lang w:val="es-MX"/>
        </w:rPr>
        <w:t>.- El impuesto a que se refiere este capítulo, se calculará aplicando la establecida en la Ley de Ingresos vigente de este Municipio de Hunucmá.</w:t>
      </w:r>
    </w:p>
    <w:p w14:paraId="402B318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418B82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Manifiesto a la Autoridad</w:t>
      </w:r>
    </w:p>
    <w:p w14:paraId="535E7AE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A9DC09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57</w:t>
      </w:r>
      <w:r w:rsidRPr="00553A55">
        <w:rPr>
          <w:rFonts w:ascii="Arial" w:eastAsia="Calibri" w:hAnsi="Arial" w:cs="Arial"/>
          <w:lang w:val="es-MX"/>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40F338E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DDBB98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Nombre y domicilio de los contratantes;</w:t>
      </w:r>
    </w:p>
    <w:p w14:paraId="016983A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Nombre del fedatario público y número que le corresponda a la notaría o escribanía. En caso de tratarse de persona distinta a los anteriores y siempre que realice funciones notariales, deberá expresar su nombre y el cargo que detenta;</w:t>
      </w:r>
    </w:p>
    <w:p w14:paraId="47EC711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Firma y sello, en su caso, del autorizante;</w:t>
      </w:r>
    </w:p>
    <w:p w14:paraId="54BA530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Fecha en que se firmó la escritura de adquisición del inmueble o de los derechos sobre el mismo;</w:t>
      </w:r>
    </w:p>
    <w:p w14:paraId="0B0FD4D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Naturaleza del acto, contrato o concepto de adquisición;</w:t>
      </w:r>
    </w:p>
    <w:p w14:paraId="7963FBE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Identificación del inmueble;</w:t>
      </w:r>
    </w:p>
    <w:p w14:paraId="0BC41D5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 </w:t>
      </w:r>
      <w:r w:rsidRPr="00553A55">
        <w:rPr>
          <w:rFonts w:ascii="Arial" w:eastAsia="Calibri" w:hAnsi="Arial" w:cs="Arial"/>
          <w:lang w:val="es-MX"/>
        </w:rPr>
        <w:t>Valor de la operación, y</w:t>
      </w:r>
    </w:p>
    <w:p w14:paraId="7DA7859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VIII. </w:t>
      </w:r>
      <w:r w:rsidRPr="00553A55">
        <w:rPr>
          <w:rFonts w:ascii="Arial" w:eastAsia="Calibri" w:hAnsi="Arial" w:cs="Arial"/>
          <w:lang w:val="es-MX"/>
        </w:rPr>
        <w:t>Liquidación del impuesto.</w:t>
      </w:r>
    </w:p>
    <w:p w14:paraId="1EBC3DD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69DD24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A la manifestación señalada en este artículo, se acumulará copia del avalúo practicado al efecto.</w:t>
      </w:r>
    </w:p>
    <w:p w14:paraId="5F99A25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3F60A0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Cuando los fedatarios públicos y quienes realizan funciones notariales no cumplan con la obligación a que se refiere este artículo, serán sancionados con una multa de uno hasta diez UMA vigentes en el Estado de Yucatán.</w:t>
      </w:r>
    </w:p>
    <w:p w14:paraId="30EB4BE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DCC31A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Los jueces y juezas de los tribunales laborales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D992E0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888A1E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lastRenderedPageBreak/>
        <w:t>De los Responsables Solidarios</w:t>
      </w:r>
    </w:p>
    <w:p w14:paraId="5CB729E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9D0463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58.- </w:t>
      </w:r>
      <w:r w:rsidRPr="00553A55">
        <w:rPr>
          <w:rFonts w:ascii="Arial" w:eastAsia="Calibri" w:hAnsi="Arial" w:cs="Arial"/>
          <w:lang w:val="es-MX"/>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53 de esta ley. </w:t>
      </w:r>
    </w:p>
    <w:p w14:paraId="46233D2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0EE7EA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Para el caso de que las personas obligadas a pagar este impuesto, no lo hicieren, los fedatarios y las personas que por disposición legal tengan funciones notariales, se abstendrán de autorizar el contrato o escritura correspondiente.</w:t>
      </w:r>
    </w:p>
    <w:p w14:paraId="687D92F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47B5CA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14:paraId="7B9E4D7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30F473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C2BF99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E133CA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030A839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5674F8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Pago</w:t>
      </w:r>
    </w:p>
    <w:p w14:paraId="276220A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A8B326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59.- </w:t>
      </w:r>
      <w:r w:rsidRPr="00553A55">
        <w:rPr>
          <w:rFonts w:ascii="Arial" w:eastAsia="Calibri" w:hAnsi="Arial" w:cs="Arial"/>
          <w:lang w:val="es-MX"/>
        </w:rPr>
        <w:t>El pago del Impuesto Sobre Adquisición de Inmuebles, deberá hacerse, dentro de los treinta días hábiles siguientes a la fecha en que, según el caso, ocurra primero alguno de los siguientes supuestos:</w:t>
      </w:r>
    </w:p>
    <w:p w14:paraId="491A93A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B9F6AE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Se celebre el acto contrato;</w:t>
      </w:r>
    </w:p>
    <w:p w14:paraId="4DD3DA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Se eleve a escritura pública, o</w:t>
      </w:r>
    </w:p>
    <w:p w14:paraId="537FE85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Se inscriba en el Registro Público de la Propiedad y de Comercio del Estado.</w:t>
      </w:r>
    </w:p>
    <w:p w14:paraId="6D0110D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Los requisitos para poder realizar dicho pago son:</w:t>
      </w:r>
    </w:p>
    <w:p w14:paraId="5CF013FF"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lastRenderedPageBreak/>
        <w:t xml:space="preserve">a)  </w:t>
      </w:r>
      <w:r w:rsidRPr="00553A55">
        <w:rPr>
          <w:rFonts w:ascii="Arial" w:eastAsia="Calibri" w:hAnsi="Arial" w:cs="Arial"/>
          <w:lang w:val="es-MX"/>
        </w:rPr>
        <w:t>Manifiesto notarial de la operación;</w:t>
      </w:r>
    </w:p>
    <w:p w14:paraId="013BFC46"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Constancia de validación del avalúo comercial (emitida por la dirección de catastro del INSEJUPY);</w:t>
      </w:r>
    </w:p>
    <w:p w14:paraId="7549CCB6"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Cedula catastral;</w:t>
      </w:r>
    </w:p>
    <w:p w14:paraId="2B3F66AB"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d) </w:t>
      </w:r>
      <w:r w:rsidRPr="00553A55">
        <w:rPr>
          <w:rFonts w:ascii="Arial" w:eastAsia="Calibri" w:hAnsi="Arial" w:cs="Arial"/>
          <w:lang w:val="es-MX"/>
        </w:rPr>
        <w:t>Plano, y</w:t>
      </w:r>
    </w:p>
    <w:p w14:paraId="3A527993"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e) </w:t>
      </w:r>
      <w:r w:rsidRPr="00553A55">
        <w:rPr>
          <w:rFonts w:ascii="Arial" w:eastAsia="Calibri" w:hAnsi="Arial" w:cs="Arial"/>
          <w:lang w:val="es-MX"/>
        </w:rPr>
        <w:t>Recibo de impuesto predial actual de acuerdo (año en curso).</w:t>
      </w:r>
    </w:p>
    <w:p w14:paraId="090ED2E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8BC800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Sanción</w:t>
      </w:r>
    </w:p>
    <w:p w14:paraId="1287EC7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387C1B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60.- </w:t>
      </w:r>
      <w:r w:rsidRPr="00553A55">
        <w:rPr>
          <w:rFonts w:ascii="Arial" w:eastAsia="Calibri" w:hAnsi="Arial" w:cs="Arial"/>
          <w:lang w:val="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esta ley. Lo anterior, sin perjuicio de la aplicación del recargo establecido para las contribuciones fiscales pagadas en forma extemporánea.</w:t>
      </w:r>
    </w:p>
    <w:p w14:paraId="0A1E4DB7" w14:textId="77777777" w:rsidR="00553A55" w:rsidRPr="00553A55" w:rsidRDefault="00553A55" w:rsidP="005B0D13">
      <w:pPr>
        <w:autoSpaceDE w:val="0"/>
        <w:autoSpaceDN w:val="0"/>
        <w:adjustRightInd w:val="0"/>
        <w:jc w:val="center"/>
        <w:rPr>
          <w:rFonts w:ascii="Arial" w:eastAsia="Calibri" w:hAnsi="Arial" w:cs="Arial"/>
          <w:b/>
          <w:bCs/>
          <w:lang w:val="es-MX"/>
        </w:rPr>
      </w:pPr>
    </w:p>
    <w:p w14:paraId="4798119D"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De las Excepciones</w:t>
      </w:r>
    </w:p>
    <w:p w14:paraId="2FE88D5A" w14:textId="77777777" w:rsidR="00553A55" w:rsidRPr="00553A55" w:rsidRDefault="00553A55" w:rsidP="005B0D13">
      <w:pPr>
        <w:autoSpaceDE w:val="0"/>
        <w:autoSpaceDN w:val="0"/>
        <w:adjustRightInd w:val="0"/>
        <w:jc w:val="both"/>
        <w:rPr>
          <w:rFonts w:ascii="Arial" w:eastAsia="Calibri" w:hAnsi="Arial" w:cs="Arial"/>
          <w:b/>
          <w:bCs/>
          <w:lang w:val="es-MX"/>
        </w:rPr>
      </w:pPr>
    </w:p>
    <w:p w14:paraId="07837CF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61.- </w:t>
      </w:r>
      <w:r w:rsidRPr="00553A55">
        <w:rPr>
          <w:rFonts w:ascii="Arial" w:eastAsia="Calibri" w:hAnsi="Arial" w:cs="Arial"/>
          <w:lang w:val="es-MX"/>
        </w:rPr>
        <w:t>Se exceptúa del pago del Impuesto Sobre Adquisición de Inmuebles en las adquisiciones que realicen la Federación, los Estados, los Municipios y en los casos siguientes:</w:t>
      </w:r>
    </w:p>
    <w:p w14:paraId="5A5D6C8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D18CF8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La transformación de sociedades, con excepción de la fusión;</w:t>
      </w:r>
    </w:p>
    <w:p w14:paraId="4BDF5EF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En la adquisición que realicen los Estados Extranjeros, en los casos que existiera reciprocidad;</w:t>
      </w:r>
    </w:p>
    <w:p w14:paraId="534BF90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Cuando se adquiera la propiedad de Inmuebles, con motivo de la constitución de la sociedad conyugal;</w:t>
      </w:r>
    </w:p>
    <w:p w14:paraId="249DA20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14:paraId="4E5E365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Cuando se adquieran inmuebles por herencia o legado, y</w:t>
      </w:r>
    </w:p>
    <w:p w14:paraId="0F56B5B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La donación entre consortes, ascendientes y descendientes en línea directa.</w:t>
      </w:r>
    </w:p>
    <w:p w14:paraId="0C8603BA" w14:textId="77777777" w:rsidR="00553A55" w:rsidRPr="00553A55" w:rsidRDefault="00553A55" w:rsidP="005B0D13">
      <w:pPr>
        <w:autoSpaceDE w:val="0"/>
        <w:autoSpaceDN w:val="0"/>
        <w:adjustRightInd w:val="0"/>
        <w:jc w:val="both"/>
        <w:rPr>
          <w:rFonts w:ascii="Arial" w:eastAsia="Calibri" w:hAnsi="Arial" w:cs="Arial"/>
          <w:b/>
          <w:bCs/>
          <w:lang w:val="es-MX"/>
        </w:rPr>
      </w:pPr>
    </w:p>
    <w:p w14:paraId="0C49ACAC"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Tercera</w:t>
      </w:r>
    </w:p>
    <w:p w14:paraId="0171FB8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Impuesto sobre diversiones y Espectáculos Públicos</w:t>
      </w:r>
    </w:p>
    <w:p w14:paraId="0CCA667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4BC9E4EF"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Sujetos</w:t>
      </w:r>
    </w:p>
    <w:p w14:paraId="1B6073E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E4B93F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62.- </w:t>
      </w:r>
      <w:r w:rsidRPr="00553A55">
        <w:rPr>
          <w:rFonts w:ascii="Arial" w:eastAsia="Calibri" w:hAnsi="Arial" w:cs="Arial"/>
          <w:lang w:val="es-MX"/>
        </w:rPr>
        <w:t xml:space="preserve">Son sujetos del Impuesto Sobre Diversiones y Espectáculos Públicos, las  personas físicas o morales que perciban ingresos derivados de la comercialización de actos, diversiones o espectáculos </w:t>
      </w:r>
      <w:r w:rsidRPr="00553A55">
        <w:rPr>
          <w:rFonts w:ascii="Arial" w:eastAsia="Calibri" w:hAnsi="Arial" w:cs="Arial"/>
          <w:lang w:val="es-MX"/>
        </w:rPr>
        <w:lastRenderedPageBreak/>
        <w:t>públicos, ya sea en forma permanente o temporal. Los sujetos de este impuesto además de las obligaciones establecidas en el apartado de Licencias de Funcionamiento y además deberán proporcionar lo siguiente:</w:t>
      </w:r>
    </w:p>
    <w:p w14:paraId="1477B71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FB85AE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Proporcionar a la Tesorería los datos señalados a continuación:</w:t>
      </w:r>
    </w:p>
    <w:p w14:paraId="6E833BEF"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Nombre y domicilio de quien promueve la diversión o espectáculo;</w:t>
      </w:r>
    </w:p>
    <w:p w14:paraId="3B9F23A1"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Clase o Tipo de Diversión o Espectáculo, y</w:t>
      </w:r>
    </w:p>
    <w:p w14:paraId="6326AF3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Ubicación del lugar donde se llevará a cabo el evento.</w:t>
      </w:r>
    </w:p>
    <w:p w14:paraId="5E1D38C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Cumplir con las disposiciones que para tal efecto fije el Ayuntamiento del Municipio de Hunucmá, Yucatán, en el caso del Municipio que no hubiere el reglamento respectivo.</w:t>
      </w:r>
    </w:p>
    <w:p w14:paraId="221936E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3C5B8C9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F2C51F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Objeto</w:t>
      </w:r>
    </w:p>
    <w:p w14:paraId="02507E6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50D951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63.</w:t>
      </w:r>
      <w:r w:rsidRPr="00553A55">
        <w:rPr>
          <w:rFonts w:ascii="Arial" w:eastAsia="Calibri" w:hAnsi="Arial" w:cs="Arial"/>
          <w:lang w:val="es-MX"/>
        </w:rPr>
        <w:t>- Es objeto del Impuesto Sobre Diversiones y Espectáculos Públicos, el ingreso derivado de la comercialización de actos, diversiones y espectáculos públicos. Para los efectos de este capítulo se consideran:</w:t>
      </w:r>
    </w:p>
    <w:p w14:paraId="551EBB7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70A1EE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Diversiones Públicas: </w:t>
      </w:r>
      <w:r w:rsidRPr="00553A55">
        <w:rPr>
          <w:rFonts w:ascii="Arial" w:eastAsia="Calibri" w:hAnsi="Arial" w:cs="Arial"/>
          <w:lang w:val="es-MX"/>
        </w:rPr>
        <w:t>Son aquellos eventos a los cuales el público asiste mediante el pago de una cuota de admisión, con la finalidad de participar o tener la oportunidad de participar activamente en los mismos.</w:t>
      </w:r>
    </w:p>
    <w:p w14:paraId="7A50E5A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Espectáculos Públicos: </w:t>
      </w:r>
      <w:r w:rsidRPr="00553A55">
        <w:rPr>
          <w:rFonts w:ascii="Arial" w:eastAsia="Calibri" w:hAnsi="Arial" w:cs="Arial"/>
          <w:lang w:val="es-MX"/>
        </w:rPr>
        <w:t>Son aquellos eventos a los que el público asiste, mediante el pago de una cuota de admisión, con la finalidad de recrearse y disfrutar con la presentación del mismo, pero sin participar en forma activa; y</w:t>
      </w:r>
    </w:p>
    <w:p w14:paraId="0C88028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Cuota de Admisión: </w:t>
      </w:r>
      <w:r w:rsidRPr="00553A55">
        <w:rPr>
          <w:rFonts w:ascii="Arial" w:eastAsia="Calibri" w:hAnsi="Arial" w:cs="Arial"/>
          <w:lang w:val="es-MX"/>
        </w:rPr>
        <w:t>Es el importe o boleto de entrada, donativo, cooperación o cualquier otra denominación que se le dé a la cantidad de dinero por la que se permita el acceso a las diversiones y espectáculos públicos.</w:t>
      </w:r>
    </w:p>
    <w:p w14:paraId="58D6B9D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40A4F03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Base</w:t>
      </w:r>
    </w:p>
    <w:p w14:paraId="129FFF7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F1751E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64.- </w:t>
      </w:r>
      <w:r w:rsidRPr="00553A55">
        <w:rPr>
          <w:rFonts w:ascii="Arial" w:eastAsia="Calibri" w:hAnsi="Arial" w:cs="Arial"/>
          <w:lang w:val="es-MX"/>
        </w:rPr>
        <w:t>La base del Impuesto Sobre Diversiones y Espectáculos Públicos, será la totalidad del ingreso percibido por los sujetos del impuesto, en la comercialización correspondiente.</w:t>
      </w:r>
    </w:p>
    <w:p w14:paraId="5CAD686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38A0ED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lastRenderedPageBreak/>
        <w:t>De la Tasa</w:t>
      </w:r>
    </w:p>
    <w:p w14:paraId="6267C0B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15832C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65.- </w:t>
      </w:r>
      <w:r w:rsidRPr="00553A55">
        <w:rPr>
          <w:rFonts w:ascii="Arial" w:eastAsia="Calibri" w:hAnsi="Arial" w:cs="Arial"/>
          <w:lang w:val="es-MX"/>
        </w:rPr>
        <w:t>La tasa del Impuesto Sobre Diversiones y Espectáculos Públicos, será de la establecida en la Ley de Ingresos vigente de este Municipio de Hunucmá.</w:t>
      </w:r>
    </w:p>
    <w:p w14:paraId="6FA1968C"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5195BE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Facultad de Disminuir la Tasa</w:t>
      </w:r>
    </w:p>
    <w:p w14:paraId="58E7FEF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72C42B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66.- </w:t>
      </w:r>
      <w:r w:rsidRPr="00553A55">
        <w:rPr>
          <w:rFonts w:ascii="Arial" w:eastAsia="Calibri" w:hAnsi="Arial" w:cs="Arial"/>
          <w:lang w:val="es-MX"/>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14:paraId="58080DD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806F2A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Pago</w:t>
      </w:r>
    </w:p>
    <w:p w14:paraId="4D96CCF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D41648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67.- </w:t>
      </w:r>
      <w:r w:rsidRPr="00553A55">
        <w:rPr>
          <w:rFonts w:ascii="Arial" w:eastAsia="Calibri" w:hAnsi="Arial" w:cs="Arial"/>
          <w:lang w:val="es-MX"/>
        </w:rPr>
        <w:t>El pago de este impuesto se sujetará a lo siguiente:</w:t>
      </w:r>
    </w:p>
    <w:p w14:paraId="40BAC8F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8BB91F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Si pudiera determinarse previamente el monto del ingreso y se trate de contribuyentes eventuales, el pago se efectuará antes de la realización de la diversión o espectáculo respectivo;</w:t>
      </w:r>
    </w:p>
    <w:p w14:paraId="2EDC0827"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4A317BF6"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 y</w:t>
      </w:r>
    </w:p>
    <w:p w14:paraId="676D6442"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d) </w:t>
      </w:r>
      <w:r w:rsidRPr="00553A55">
        <w:rPr>
          <w:rFonts w:ascii="Arial" w:eastAsia="Calibri" w:hAnsi="Arial" w:cs="Arial"/>
          <w:lang w:val="es-MX"/>
        </w:rPr>
        <w:t>Tratándose de contribuyentes establecidos o registrados en el Padrón Municipal, el pago se efectuará dentro los primeros quince días de cada mes.</w:t>
      </w:r>
    </w:p>
    <w:p w14:paraId="6AAC144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6932C5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37187D5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18E336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Artículo 68.- </w:t>
      </w:r>
      <w:r w:rsidRPr="00553A55">
        <w:rPr>
          <w:rFonts w:ascii="Arial" w:eastAsia="Calibri" w:hAnsi="Arial" w:cs="Arial"/>
          <w:lang w:val="es-MX"/>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0755B48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7DFA8F6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69.- </w:t>
      </w:r>
      <w:r w:rsidRPr="00553A55">
        <w:rPr>
          <w:rFonts w:ascii="Arial" w:eastAsia="Calibri" w:hAnsi="Arial" w:cs="Arial"/>
          <w:lang w:val="es-MX"/>
        </w:rPr>
        <w:t>La Tesorería Municipal tendrá facultad para suspender o intervenir la venta de boletos de cualquier evento, cuando los organizadores, promotores o empresarios, no cumplan con la obligación contenida en esta ley, no proporcionen la información que se les requiera para la determinación del impuesto o de alguna manera obstaculicen las facultades de las autoridades municipales. Los impuestos que de manera general se establecen en esta Ley, podrán ser disminuidos, modificados o aumentados en la Ley de Ingresos del Municipio que apruebe el H. Congreso del Estado de Yucatán.</w:t>
      </w:r>
    </w:p>
    <w:p w14:paraId="105C5AC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2126D2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II</w:t>
      </w:r>
    </w:p>
    <w:p w14:paraId="57F2AFEF"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w:t>
      </w:r>
    </w:p>
    <w:p w14:paraId="14544F3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16F162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70.- </w:t>
      </w:r>
      <w:r w:rsidRPr="00553A55">
        <w:rPr>
          <w:rFonts w:ascii="Arial" w:eastAsia="Calibri" w:hAnsi="Arial" w:cs="Arial"/>
          <w:lang w:val="es-MX"/>
        </w:rPr>
        <w:t>Las personas físicas y morales pagarán los derechos que se establecen en esta Ley de Ingresos vigentes, en las cajas recaudadoras de la Dirección de Finanzas y Tesorería Municipal o en las que la propia Dirección, autorice para tal efecto.</w:t>
      </w:r>
    </w:p>
    <w:p w14:paraId="1DB243C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ADE8F5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pago de los derechos deberá hacerse previamente a la prestación del servicio, salvo en los casos expresamente señalados en esta Ley.</w:t>
      </w:r>
    </w:p>
    <w:p w14:paraId="272EF45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F6047A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71.- </w:t>
      </w:r>
      <w:r w:rsidRPr="00553A55">
        <w:rPr>
          <w:rFonts w:ascii="Arial" w:eastAsia="Calibri" w:hAnsi="Arial" w:cs="Arial"/>
          <w:lang w:val="es-MX"/>
        </w:rPr>
        <w:t>Los derechos que establece esta Ley se pagarán por los servicios que preste el Ayuntamiento de Hunucmá en sus funciones de derecho público o por el uso o aprovechamiento de los bienes del dominio público del Municipio destinados a la prestación de un servicio público.</w:t>
      </w:r>
    </w:p>
    <w:p w14:paraId="3BAAC02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09A0E6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51285446" w14:textId="77777777" w:rsidR="00553A55" w:rsidRPr="00553A55" w:rsidRDefault="00553A55" w:rsidP="005B0D13">
      <w:pPr>
        <w:autoSpaceDE w:val="0"/>
        <w:autoSpaceDN w:val="0"/>
        <w:adjustRightInd w:val="0"/>
        <w:jc w:val="both"/>
        <w:rPr>
          <w:rFonts w:ascii="Arial" w:eastAsia="Calibri" w:hAnsi="Arial" w:cs="Arial"/>
          <w:b/>
          <w:bCs/>
          <w:lang w:val="es-MX"/>
        </w:rPr>
      </w:pPr>
    </w:p>
    <w:p w14:paraId="1335D1C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Primera</w:t>
      </w:r>
    </w:p>
    <w:p w14:paraId="12BCA82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Servicios de Licencias y Permisos</w:t>
      </w:r>
    </w:p>
    <w:p w14:paraId="6A8C1EE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C8BA23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72.- </w:t>
      </w:r>
      <w:r w:rsidRPr="00553A55">
        <w:rPr>
          <w:rFonts w:ascii="Arial" w:eastAsia="Calibri" w:hAnsi="Arial" w:cs="Arial"/>
          <w:lang w:val="es-MX"/>
        </w:rPr>
        <w:t>Es objeto de los derechos por servicios de licencias y permisos:</w:t>
      </w:r>
    </w:p>
    <w:p w14:paraId="33DA3D2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6696EC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25CB2E5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Las licencias, permisos o autorizaciones para el funcionamiento de establecimientos o locales comerciales o de servicios;</w:t>
      </w:r>
    </w:p>
    <w:p w14:paraId="7EBEABD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Las licencias para la instalación de anuncios de toda índole, conforme a la reglamentación municipal correspondiente, y</w:t>
      </w:r>
    </w:p>
    <w:p w14:paraId="73D2E27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Los permisos y autorizaciones de tipo provisional señalados en los reglamentos municipales del Municipio de Hunucmá, Yucatán.</w:t>
      </w:r>
    </w:p>
    <w:p w14:paraId="7C47ECF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E5B916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73.- </w:t>
      </w:r>
      <w:r w:rsidRPr="00553A55">
        <w:rPr>
          <w:rFonts w:ascii="Arial" w:eastAsia="Calibri" w:hAnsi="Arial" w:cs="Arial"/>
          <w:lang w:val="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49E71BF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22918C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74.- </w:t>
      </w:r>
      <w:r w:rsidRPr="00553A55">
        <w:rPr>
          <w:rFonts w:ascii="Arial" w:eastAsia="Calibri" w:hAnsi="Arial" w:cs="Arial"/>
          <w:lang w:val="es-MX"/>
        </w:rPr>
        <w:t>Son responsables solidarios del pago de los derechos a que se refiere la presente sección:</w:t>
      </w:r>
    </w:p>
    <w:p w14:paraId="3DA7F3F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F471F9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Tratándose de licencias, los propietarios de los inmuebles donde funcionen los giros o donde se instalen los anuncios, y</w:t>
      </w:r>
    </w:p>
    <w:p w14:paraId="16950F4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Tratándose de espectáculos, los propietarios de los inmuebles en que éstos se llevan a cabo.</w:t>
      </w:r>
    </w:p>
    <w:p w14:paraId="6F76C0B8"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9CC551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75.- </w:t>
      </w:r>
      <w:r w:rsidRPr="00553A55">
        <w:rPr>
          <w:rFonts w:ascii="Arial" w:eastAsia="Calibri" w:hAnsi="Arial" w:cs="Arial"/>
          <w:lang w:val="es-MX"/>
        </w:rPr>
        <w:t>Es base para el pago de los derechos a que se refiere la presente sección:</w:t>
      </w:r>
    </w:p>
    <w:p w14:paraId="6EE861B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3F8881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5089843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14:paraId="46A3069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Tratándose de licencias para anuncios, el metro cuadrado de superficie del anuncio;</w:t>
      </w:r>
    </w:p>
    <w:p w14:paraId="7741381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IV.- </w:t>
      </w:r>
      <w:r w:rsidRPr="00553A55">
        <w:rPr>
          <w:rFonts w:ascii="Arial" w:eastAsia="Calibri" w:hAnsi="Arial" w:cs="Arial"/>
          <w:lang w:val="es-MX"/>
        </w:rPr>
        <w:t>En permisos de construcción, reconstrucción, ampliación y demolición de inmuebles, la base se determinará en función del metro cuadrado de superficie construida o demolida;</w:t>
      </w:r>
    </w:p>
    <w:p w14:paraId="1C124EC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Para la construcción de fosas sépticas y albercas, será base el metro cúbico de capacidad;</w:t>
      </w:r>
    </w:p>
    <w:p w14:paraId="05661D5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Para la construcción de pozos, será base el metro lineal de profundidad;</w:t>
      </w:r>
    </w:p>
    <w:p w14:paraId="39813B2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 </w:t>
      </w:r>
      <w:r w:rsidRPr="00553A55">
        <w:rPr>
          <w:rFonts w:ascii="Arial" w:eastAsia="Calibri" w:hAnsi="Arial" w:cs="Arial"/>
          <w:lang w:val="es-MX"/>
        </w:rPr>
        <w:t>Para los permisos o autorizaciones de tipo provisional señalados en los reglamentos municipales, el tipo de solicitud, así como el tiempo de vigencia de la misma;</w:t>
      </w:r>
    </w:p>
    <w:p w14:paraId="2DC7DE4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VIII.- </w:t>
      </w:r>
      <w:r w:rsidRPr="00553A55">
        <w:rPr>
          <w:rFonts w:ascii="Arial" w:eastAsia="Calibri" w:hAnsi="Arial" w:cs="Arial"/>
          <w:lang w:val="es-MX"/>
        </w:rPr>
        <w:t>Por la construcción y demolición de bardas y obras lineales, será base el metro lineal de construcción, y</w:t>
      </w:r>
    </w:p>
    <w:p w14:paraId="67A714B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IX.- </w:t>
      </w:r>
      <w:r w:rsidRPr="00553A55">
        <w:rPr>
          <w:rFonts w:ascii="Arial" w:eastAsia="Calibri" w:hAnsi="Arial" w:cs="Arial"/>
          <w:lang w:val="es-MX"/>
        </w:rPr>
        <w:t>Los permisos para fraccionamientos serán en función de los metros cuadrados de superficie vendible.</w:t>
      </w:r>
    </w:p>
    <w:p w14:paraId="0FD2C94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47FD0D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76.- </w:t>
      </w:r>
      <w:r w:rsidRPr="00553A55">
        <w:rPr>
          <w:rFonts w:ascii="Arial" w:eastAsia="Calibri" w:hAnsi="Arial" w:cs="Arial"/>
          <w:lang w:val="es-MX"/>
        </w:rPr>
        <w:t>El pago de los derechos a que se refiere esta sección deberá cubrirse con anticipación al otorgamiento de las licencias o permisos referidos, con excepción de los que en su caso disponga la reglamentación correspondiente.</w:t>
      </w:r>
    </w:p>
    <w:p w14:paraId="567B256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D57298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77.- </w:t>
      </w:r>
      <w:r w:rsidRPr="00553A55">
        <w:rPr>
          <w:rFonts w:ascii="Arial" w:eastAsia="Calibri" w:hAnsi="Arial" w:cs="Arial"/>
          <w:lang w:val="es-MX"/>
        </w:rPr>
        <w:t>Por el otorgamiento de licencias o permisos a que hace referencia esta sección, se causarán y pagarán derechos de conformidad con las tarifas señaladas en la Ley de Ingresos del Municipio de Hunucmá.</w:t>
      </w:r>
    </w:p>
    <w:p w14:paraId="23E0E79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621C45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78.- </w:t>
      </w:r>
      <w:r w:rsidRPr="00553A55">
        <w:rPr>
          <w:rFonts w:ascii="Arial" w:eastAsia="Calibri" w:hAnsi="Arial" w:cs="Arial"/>
          <w:lang w:val="es-MX"/>
        </w:rPr>
        <w:t>Los establecimientos con venta de bebidas alcohólicas que no cuenten con licencia de funcionamiento vigente, podrán ser clausurados por la autoridad municipal, por el perjuicio que puedan causar al interés general.</w:t>
      </w:r>
    </w:p>
    <w:p w14:paraId="5875ABF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5543B8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Segunda</w:t>
      </w:r>
    </w:p>
    <w:p w14:paraId="7B7CF82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Servicios que Presta la Dirección de Desarrollo Urbano</w:t>
      </w:r>
    </w:p>
    <w:p w14:paraId="04497E1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275E9C8"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
          <w:bCs/>
          <w:lang w:val="es-MX"/>
        </w:rPr>
        <w:t xml:space="preserve">Artículo 79.- </w:t>
      </w:r>
      <w:r w:rsidRPr="00553A55">
        <w:rPr>
          <w:rFonts w:ascii="Arial" w:eastAsia="Calibri" w:hAnsi="Arial" w:cs="Arial"/>
          <w:bCs/>
          <w:lang w:val="es-MX"/>
        </w:rPr>
        <w:t>Son sujetos obligados al pago de derechos, por los servicios que presta la Dirección de Desarrollo Urbano, las personas físicas o morales que soliciten, cualesquiera de los servicios a que se refiere esta sección.</w:t>
      </w:r>
    </w:p>
    <w:p w14:paraId="50965973"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p>
    <w:p w14:paraId="32F268A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Obligados Solidarios</w:t>
      </w:r>
    </w:p>
    <w:p w14:paraId="18A6446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D9C27C6"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
          <w:bCs/>
          <w:lang w:val="es-MX"/>
        </w:rPr>
        <w:t xml:space="preserve">Artículo 80.- </w:t>
      </w:r>
      <w:r w:rsidRPr="00553A55">
        <w:rPr>
          <w:rFonts w:ascii="Arial" w:eastAsia="Calibri" w:hAnsi="Arial" w:cs="Arial"/>
          <w:bCs/>
          <w:lang w:val="es-MX"/>
        </w:rPr>
        <w:t xml:space="preserve">Son obligados solidarios al pago de estos derechos, los propietarios, fideicomitentes, mientras el fiduciario no transmitiera la propiedad del inmueble; los fideicomisarios cuando estuvieren </w:t>
      </w:r>
      <w:r w:rsidRPr="00553A55">
        <w:rPr>
          <w:rFonts w:ascii="Arial" w:eastAsia="Calibri" w:hAnsi="Arial" w:cs="Arial"/>
          <w:bCs/>
          <w:lang w:val="es-MX"/>
        </w:rPr>
        <w:lastRenderedPageBreak/>
        <w:t>en posesión o uso del inmueble, los adquirentes de un inmueble por cualquier título, aun cuando no se hubiere otorgado a su favor la escritura definitiva de compraventa y los responsables de la obra.</w:t>
      </w:r>
    </w:p>
    <w:p w14:paraId="2AAE9B6A"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p>
    <w:p w14:paraId="078D0C1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Clasificación</w:t>
      </w:r>
    </w:p>
    <w:p w14:paraId="4915E5B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81A4DA8"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
          <w:bCs/>
          <w:lang w:val="es-MX"/>
        </w:rPr>
        <w:t xml:space="preserve">Artículo 81.- </w:t>
      </w:r>
      <w:r w:rsidRPr="00553A55">
        <w:rPr>
          <w:rFonts w:ascii="Arial" w:eastAsia="Calibri" w:hAnsi="Arial" w:cs="Arial"/>
          <w:bCs/>
          <w:lang w:val="es-MX"/>
        </w:rPr>
        <w:t>Los sujetos pagarán los derechos por los servicios que soliciten a la Dirección de Desarrollo Urbano de acordó a la Ley de Ingresos vigente, y deberán presentar los siguientes requisitos de acorde a la licencia, permiso o constancia que requieren:</w:t>
      </w:r>
    </w:p>
    <w:p w14:paraId="54221E5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BF3CB0C"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para Carta de Congruencia</w:t>
      </w:r>
    </w:p>
    <w:p w14:paraId="12C16F7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1DDF57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5B1F53F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Copia del título de propiedad del predio colindante y/o acta constitutiva de la persona moral (en caso de no ser propietario del predio colindante especificarlo en su solicitud);</w:t>
      </w:r>
    </w:p>
    <w:p w14:paraId="5BE3F96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Copia de la cédula catastral vigente del predio colindante;</w:t>
      </w:r>
    </w:p>
    <w:p w14:paraId="53E2B3E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Copia expedida por la tesorería del pago del impuesto predial actualizado;</w:t>
      </w:r>
    </w:p>
    <w:p w14:paraId="3B1BE76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Copia del plano topográfico con coordenadas UTM (Universal Transversal de Mercator);</w:t>
      </w:r>
    </w:p>
    <w:p w14:paraId="38892F6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4 fotografías de la ZOFEMAT en sus 4 puntos cardinales con terminaciones de playa y predio, en caso de no ser el titular quien realice el trámite, se requiere la entrega de carta poder a nombre del tramitador, anexando su identificación y la de 2 testigos;</w:t>
      </w:r>
    </w:p>
    <w:p w14:paraId="01EBC20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Copia de identificación oficial del titular del predio y del tramitador, y</w:t>
      </w:r>
    </w:p>
    <w:p w14:paraId="4C806BC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Pago correspondiente por la congruencia de uso de suelo de la ZOFEMAT.</w:t>
      </w:r>
    </w:p>
    <w:p w14:paraId="75B473B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6C7EE9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para Constancia de Alineamiento</w:t>
      </w:r>
    </w:p>
    <w:p w14:paraId="5F19498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827D4F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Copia del testimonio de la escritura Pública de Propiedad del PREDIO o Inmueble o Documento notariado que compruebe la legítima posesión. El predio o inmueble deberá estar delimitado en su colindancia con la vía Pública:</w:t>
      </w:r>
    </w:p>
    <w:p w14:paraId="5B2184F5" w14:textId="77777777" w:rsidR="00553A55" w:rsidRPr="00553A55" w:rsidRDefault="00553A55" w:rsidP="00553A55">
      <w:pPr>
        <w:autoSpaceDE w:val="0"/>
        <w:autoSpaceDN w:val="0"/>
        <w:adjustRightInd w:val="0"/>
        <w:spacing w:line="360" w:lineRule="auto"/>
        <w:ind w:firstLine="284"/>
        <w:contextualSpacing/>
        <w:jc w:val="both"/>
        <w:rPr>
          <w:rFonts w:ascii="Arial" w:eastAsia="Calibri" w:hAnsi="Arial" w:cs="Arial"/>
          <w:lang w:val="es-MX"/>
        </w:rPr>
      </w:pPr>
      <w:r w:rsidRPr="00553A55">
        <w:rPr>
          <w:rFonts w:ascii="Arial" w:eastAsia="Calibri" w:hAnsi="Arial" w:cs="Arial"/>
          <w:b/>
          <w:bCs/>
          <w:lang w:val="es-MX"/>
        </w:rPr>
        <w:t xml:space="preserve">a) Descripción: </w:t>
      </w:r>
      <w:r w:rsidRPr="00553A55">
        <w:rPr>
          <w:rFonts w:ascii="Arial" w:eastAsia="Calibri" w:hAnsi="Arial" w:cs="Arial"/>
          <w:lang w:val="es-MX"/>
        </w:rPr>
        <w:t>Documento que comprueba la legal posición del predio notariada.</w:t>
      </w:r>
    </w:p>
    <w:p w14:paraId="2FF68F8F" w14:textId="77777777" w:rsidR="00553A55" w:rsidRPr="00553A55" w:rsidRDefault="00553A55" w:rsidP="00553A55">
      <w:pPr>
        <w:autoSpaceDE w:val="0"/>
        <w:autoSpaceDN w:val="0"/>
        <w:adjustRightInd w:val="0"/>
        <w:spacing w:line="360" w:lineRule="auto"/>
        <w:ind w:firstLine="284"/>
        <w:contextualSpacing/>
        <w:jc w:val="both"/>
        <w:rPr>
          <w:rFonts w:ascii="Arial" w:eastAsia="Calibri" w:hAnsi="Arial" w:cs="Arial"/>
          <w:lang w:val="es-MX"/>
        </w:rPr>
      </w:pPr>
      <w:r w:rsidRPr="00553A55">
        <w:rPr>
          <w:rFonts w:ascii="Arial" w:eastAsia="Calibri" w:hAnsi="Arial" w:cs="Arial"/>
          <w:b/>
          <w:bCs/>
          <w:lang w:val="es-MX"/>
        </w:rPr>
        <w:t xml:space="preserve">b) Presentación: </w:t>
      </w:r>
      <w:r w:rsidRPr="00553A55">
        <w:rPr>
          <w:rFonts w:ascii="Arial" w:eastAsia="Calibri" w:hAnsi="Arial" w:cs="Arial"/>
          <w:lang w:val="es-MX"/>
        </w:rPr>
        <w:t>1 copia.</w:t>
      </w:r>
    </w:p>
    <w:p w14:paraId="20EE31A6" w14:textId="77777777" w:rsidR="00553A55" w:rsidRPr="00553A55" w:rsidRDefault="00553A55" w:rsidP="00553A55">
      <w:pPr>
        <w:autoSpaceDE w:val="0"/>
        <w:autoSpaceDN w:val="0"/>
        <w:adjustRightInd w:val="0"/>
        <w:spacing w:line="360" w:lineRule="auto"/>
        <w:ind w:firstLine="284"/>
        <w:contextualSpacing/>
        <w:jc w:val="both"/>
        <w:rPr>
          <w:rFonts w:ascii="Arial" w:eastAsia="Calibri" w:hAnsi="Arial" w:cs="Arial"/>
          <w:lang w:val="es-MX"/>
        </w:rPr>
      </w:pPr>
      <w:r w:rsidRPr="00553A55">
        <w:rPr>
          <w:rFonts w:ascii="Arial" w:eastAsia="Calibri" w:hAnsi="Arial" w:cs="Arial"/>
          <w:b/>
          <w:bCs/>
          <w:lang w:val="es-MX"/>
        </w:rPr>
        <w:t xml:space="preserve">c) Tipo de requisito: </w:t>
      </w:r>
      <w:r w:rsidRPr="00553A55">
        <w:rPr>
          <w:rFonts w:ascii="Arial" w:eastAsia="Calibri" w:hAnsi="Arial" w:cs="Arial"/>
          <w:lang w:val="es-MX"/>
        </w:rPr>
        <w:t>Copia simple</w:t>
      </w:r>
    </w:p>
    <w:p w14:paraId="6CF378D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Copia de la Cédula y croquis Catastral:</w:t>
      </w:r>
    </w:p>
    <w:p w14:paraId="536F60D0" w14:textId="77777777" w:rsidR="00553A55" w:rsidRPr="00553A55" w:rsidRDefault="00553A55" w:rsidP="00553A55">
      <w:pPr>
        <w:autoSpaceDE w:val="0"/>
        <w:autoSpaceDN w:val="0"/>
        <w:adjustRightInd w:val="0"/>
        <w:spacing w:line="360" w:lineRule="auto"/>
        <w:ind w:firstLine="284"/>
        <w:contextualSpacing/>
        <w:jc w:val="both"/>
        <w:rPr>
          <w:rFonts w:ascii="Arial" w:eastAsia="Calibri" w:hAnsi="Arial" w:cs="Arial"/>
          <w:lang w:val="es-MX"/>
        </w:rPr>
      </w:pPr>
      <w:r w:rsidRPr="00553A55">
        <w:rPr>
          <w:rFonts w:ascii="Arial" w:eastAsia="Calibri" w:hAnsi="Arial" w:cs="Arial"/>
          <w:b/>
          <w:lang w:val="es-MX"/>
        </w:rPr>
        <w:lastRenderedPageBreak/>
        <w:t>a)</w:t>
      </w:r>
      <w:r w:rsidRPr="00553A55">
        <w:rPr>
          <w:rFonts w:ascii="Arial" w:eastAsia="Calibri" w:hAnsi="Arial" w:cs="Arial"/>
          <w:lang w:val="es-MX"/>
        </w:rPr>
        <w:t xml:space="preserve"> </w:t>
      </w:r>
      <w:r w:rsidRPr="00553A55">
        <w:rPr>
          <w:rFonts w:ascii="Arial" w:eastAsia="Calibri" w:hAnsi="Arial" w:cs="Arial"/>
          <w:b/>
          <w:bCs/>
          <w:lang w:val="es-MX"/>
        </w:rPr>
        <w:t xml:space="preserve">Descripción: </w:t>
      </w:r>
      <w:r w:rsidRPr="00553A55">
        <w:rPr>
          <w:rFonts w:ascii="Arial" w:eastAsia="Calibri" w:hAnsi="Arial" w:cs="Arial"/>
          <w:lang w:val="es-MX"/>
        </w:rPr>
        <w:t>Cédula y croquis catastral del predio vigente.</w:t>
      </w:r>
    </w:p>
    <w:p w14:paraId="72E1F8E1" w14:textId="77777777" w:rsidR="00553A55" w:rsidRPr="00553A55" w:rsidRDefault="00553A55" w:rsidP="00553A55">
      <w:pPr>
        <w:autoSpaceDE w:val="0"/>
        <w:autoSpaceDN w:val="0"/>
        <w:adjustRightInd w:val="0"/>
        <w:spacing w:line="360" w:lineRule="auto"/>
        <w:ind w:firstLine="284"/>
        <w:contextualSpacing/>
        <w:jc w:val="both"/>
        <w:rPr>
          <w:rFonts w:ascii="Arial" w:eastAsia="Calibri" w:hAnsi="Arial" w:cs="Arial"/>
          <w:lang w:val="es-MX"/>
        </w:rPr>
      </w:pPr>
      <w:r w:rsidRPr="00553A55">
        <w:rPr>
          <w:rFonts w:ascii="Arial" w:eastAsia="Calibri" w:hAnsi="Arial" w:cs="Arial"/>
          <w:b/>
          <w:lang w:val="es-MX"/>
        </w:rPr>
        <w:t>b)</w:t>
      </w:r>
      <w:r w:rsidRPr="00553A55">
        <w:rPr>
          <w:rFonts w:ascii="Arial" w:eastAsia="Calibri" w:hAnsi="Arial" w:cs="Arial"/>
          <w:lang w:val="es-MX"/>
        </w:rPr>
        <w:t xml:space="preserve"> </w:t>
      </w:r>
      <w:r w:rsidRPr="00553A55">
        <w:rPr>
          <w:rFonts w:ascii="Arial" w:eastAsia="Calibri" w:hAnsi="Arial" w:cs="Arial"/>
          <w:b/>
          <w:bCs/>
          <w:lang w:val="es-MX"/>
        </w:rPr>
        <w:t xml:space="preserve">Presentación: </w:t>
      </w:r>
      <w:r w:rsidRPr="00553A55">
        <w:rPr>
          <w:rFonts w:ascii="Arial" w:eastAsia="Calibri" w:hAnsi="Arial" w:cs="Arial"/>
          <w:lang w:val="es-MX"/>
        </w:rPr>
        <w:t>1 copia.</w:t>
      </w:r>
    </w:p>
    <w:p w14:paraId="6215D077" w14:textId="77777777" w:rsidR="00553A55" w:rsidRPr="00553A55" w:rsidRDefault="00553A55" w:rsidP="00553A55">
      <w:pPr>
        <w:autoSpaceDE w:val="0"/>
        <w:autoSpaceDN w:val="0"/>
        <w:adjustRightInd w:val="0"/>
        <w:spacing w:line="360" w:lineRule="auto"/>
        <w:ind w:firstLine="284"/>
        <w:contextualSpacing/>
        <w:jc w:val="both"/>
        <w:rPr>
          <w:rFonts w:ascii="Arial" w:eastAsia="Calibri" w:hAnsi="Arial" w:cs="Arial"/>
          <w:lang w:val="es-MX"/>
        </w:rPr>
      </w:pPr>
      <w:r w:rsidRPr="00553A55">
        <w:rPr>
          <w:rFonts w:ascii="Arial" w:eastAsia="Calibri" w:hAnsi="Arial" w:cs="Arial"/>
          <w:b/>
          <w:lang w:val="es-MX"/>
        </w:rPr>
        <w:t>c)</w:t>
      </w:r>
      <w:r w:rsidRPr="00553A55">
        <w:rPr>
          <w:rFonts w:ascii="Arial" w:eastAsia="Calibri" w:hAnsi="Arial" w:cs="Arial"/>
          <w:lang w:val="es-MX"/>
        </w:rPr>
        <w:t xml:space="preserve"> </w:t>
      </w:r>
      <w:r w:rsidRPr="00553A55">
        <w:rPr>
          <w:rFonts w:ascii="Arial" w:eastAsia="Calibri" w:hAnsi="Arial" w:cs="Arial"/>
          <w:b/>
          <w:bCs/>
          <w:lang w:val="es-MX"/>
        </w:rPr>
        <w:t xml:space="preserve">Tipo de requisito: </w:t>
      </w:r>
      <w:r w:rsidRPr="00553A55">
        <w:rPr>
          <w:rFonts w:ascii="Arial" w:eastAsia="Calibri" w:hAnsi="Arial" w:cs="Arial"/>
          <w:lang w:val="es-MX"/>
        </w:rPr>
        <w:t>Copia simple.</w:t>
      </w:r>
    </w:p>
    <w:p w14:paraId="79EB417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Constancia de no adeudo de impuesto predial del año en curso, con comprobante de pago</w:t>
      </w:r>
    </w:p>
    <w:p w14:paraId="513B631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Constancia de No adeudo de Agua Potable</w:t>
      </w:r>
    </w:p>
    <w:p w14:paraId="6E5498A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Copia del INE del propietario(s) del inmueble para corroborar la legitima propiedad</w:t>
      </w:r>
    </w:p>
    <w:p w14:paraId="3E714D2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BAACA2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para Trámite de Factibilidad de Uso de Suelo</w:t>
      </w:r>
    </w:p>
    <w:p w14:paraId="02194DD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FCB587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1 copia de Título de propiedad para acreditar la propiedad;</w:t>
      </w:r>
    </w:p>
    <w:p w14:paraId="570DABA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Copia del INE del propietario(s) del inmueble para corroborar la legitima propiedad;</w:t>
      </w:r>
    </w:p>
    <w:p w14:paraId="427E9E5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Constancia de no adeudo de impuesto Predial del año en curso, con comprobante de pago (2 copias);</w:t>
      </w:r>
    </w:p>
    <w:p w14:paraId="0E8CB7A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Constancia de No adeudo de Agua Potable;</w:t>
      </w:r>
    </w:p>
    <w:p w14:paraId="476DA7C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Cédula Catastral (2 copias);</w:t>
      </w:r>
    </w:p>
    <w:p w14:paraId="54C9722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Croquis Catastral;</w:t>
      </w:r>
    </w:p>
    <w:p w14:paraId="4F2D103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Memoria Descriptiva del proyecto;</w:t>
      </w:r>
    </w:p>
    <w:p w14:paraId="0ED4FEB5"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Plano de construcción para ver los metros cuadrados a construir y su respectiva tabla de superficies (planos de anteproyecto);</w:t>
      </w:r>
    </w:p>
    <w:p w14:paraId="1C3C139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Fotografías del inmueble o predio, y</w:t>
      </w:r>
    </w:p>
    <w:p w14:paraId="47C927C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lang w:val="es-MX"/>
        </w:rPr>
        <w:t xml:space="preserve">10. </w:t>
      </w:r>
      <w:r w:rsidRPr="00553A55">
        <w:rPr>
          <w:rFonts w:ascii="Arial" w:eastAsia="Calibri" w:hAnsi="Arial" w:cs="Arial"/>
          <w:lang w:val="es-MX"/>
        </w:rPr>
        <w:t>La contestación de la Secretaría de Desarrollo Sustentable donde le digan que es factible esa zona para la realización de la obra destinada (2 copias).</w:t>
      </w:r>
    </w:p>
    <w:p w14:paraId="0B08E56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F55528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para Licencia de Uso de Suelo</w:t>
      </w:r>
    </w:p>
    <w:p w14:paraId="374C8C3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EAB0AA5"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Realizar la solicitud de la licencia de uso de suelo;</w:t>
      </w:r>
    </w:p>
    <w:p w14:paraId="52C4236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Copia del testimonio de la escritura pública de propiedad del "PREDIO “o INMUEBLE", o documento notariado que compruebe la legítima posesión;</w:t>
      </w:r>
    </w:p>
    <w:p w14:paraId="498FCB0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Carta poder (Tramitador o gestor),</w:t>
      </w:r>
    </w:p>
    <w:p w14:paraId="2C6C17B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Copia de Identificación Oficial del Tramitador y/o Propietario (1 copia);</w:t>
      </w:r>
    </w:p>
    <w:p w14:paraId="49D5C6D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Copia de la cédula y croquis Catastral (1 copia);</w:t>
      </w:r>
    </w:p>
    <w:p w14:paraId="2939919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Croquis de localización del predio que abarque un radio de 500m alrededor de este, ubicando los usos colindantes e importantes;</w:t>
      </w:r>
    </w:p>
    <w:p w14:paraId="2092971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Estar al corriente en el pago del impuesto predial (1 copia);</w:t>
      </w:r>
    </w:p>
    <w:p w14:paraId="32BAE2F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Copia de recibo de pago de agua al día;</w:t>
      </w:r>
    </w:p>
    <w:p w14:paraId="46A0D0A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lastRenderedPageBreak/>
        <w:t xml:space="preserve">9. </w:t>
      </w:r>
      <w:r w:rsidRPr="00553A55">
        <w:rPr>
          <w:rFonts w:ascii="Arial" w:eastAsia="Calibri" w:hAnsi="Arial" w:cs="Arial"/>
          <w:bCs/>
          <w:lang w:val="es-MX"/>
        </w:rPr>
        <w:t>Fotografías interiores y exteriores del PREDIO O INMUEBLE, que demuestren que se encuentra habilitado para albergar el uso solicitado;</w:t>
      </w:r>
    </w:p>
    <w:p w14:paraId="22716AB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Una copia del plano arquitectónico del proyecto debidamente acotado a escala, amueblado e indicando los nombres de cada área o local. En caso de compartir el predio con otro(s) uso(s) y/o casa habitación, el plano de conjunto donde se ubique el uso solicitado;</w:t>
      </w:r>
    </w:p>
    <w:p w14:paraId="7418A6D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11. </w:t>
      </w:r>
      <w:r w:rsidRPr="00553A55">
        <w:rPr>
          <w:rFonts w:ascii="Arial" w:eastAsia="Calibri" w:hAnsi="Arial" w:cs="Arial"/>
          <w:bCs/>
          <w:lang w:val="es-MX"/>
        </w:rPr>
        <w:t>Autorización en materia de seguridad humana emitida por protección civil, que corresponda, según aplique para el uso solicitado,</w:t>
      </w:r>
    </w:p>
    <w:p w14:paraId="70C6035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12. </w:t>
      </w:r>
      <w:r w:rsidRPr="00553A55">
        <w:rPr>
          <w:rFonts w:ascii="Arial" w:eastAsia="Calibri" w:hAnsi="Arial" w:cs="Arial"/>
          <w:bCs/>
          <w:lang w:val="es-MX"/>
        </w:rPr>
        <w:t>Cuando se trate de un giro de venta de bebidas alcohólicas, deberá acreditar el cumplimiento de los requisitos establecidos en el reglamento municipal correspondiente, con el comprobante de pago del mismo;</w:t>
      </w:r>
    </w:p>
    <w:p w14:paraId="777BDE8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13. </w:t>
      </w:r>
      <w:r w:rsidRPr="00553A55">
        <w:rPr>
          <w:rFonts w:ascii="Arial" w:eastAsia="Calibri" w:hAnsi="Arial" w:cs="Arial"/>
          <w:bCs/>
          <w:lang w:val="es-MX"/>
        </w:rPr>
        <w:t>Determinación sanitaria emitida por la Secretaría de Salud y Servicios de Salud de Yucatán;</w:t>
      </w:r>
    </w:p>
    <w:p w14:paraId="6614AF7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14. </w:t>
      </w:r>
      <w:r w:rsidRPr="00553A55">
        <w:rPr>
          <w:rFonts w:ascii="Arial" w:eastAsia="Calibri" w:hAnsi="Arial" w:cs="Arial"/>
          <w:bCs/>
          <w:lang w:val="es-MX"/>
        </w:rPr>
        <w:t>Memoria descriptiva indicando las actividades a realizar en el PREDIO;</w:t>
      </w:r>
    </w:p>
    <w:p w14:paraId="429D558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15. </w:t>
      </w:r>
      <w:r w:rsidRPr="00553A55">
        <w:rPr>
          <w:rFonts w:ascii="Arial" w:eastAsia="Calibri" w:hAnsi="Arial" w:cs="Arial"/>
          <w:bCs/>
          <w:lang w:val="es-MX"/>
        </w:rPr>
        <w:t>Factibilidad urbano ambiental emitida por la autoridad competente estatal en caso de ser un desarrollo habitacional o comercial (2 copias) SEDUMA;</w:t>
      </w:r>
    </w:p>
    <w:p w14:paraId="28E622D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16. </w:t>
      </w:r>
      <w:r w:rsidRPr="00553A55">
        <w:rPr>
          <w:rFonts w:ascii="Arial" w:eastAsia="Calibri" w:hAnsi="Arial" w:cs="Arial"/>
          <w:bCs/>
          <w:lang w:val="es-MX"/>
        </w:rPr>
        <w:t>Autorización en materia ambiental emitida por la autoridad competente federal (*en caso de ser zona costera) (2 copias), SEMARNAT;</w:t>
      </w:r>
    </w:p>
    <w:p w14:paraId="1FD23D1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17. </w:t>
      </w:r>
      <w:r w:rsidRPr="00553A55">
        <w:rPr>
          <w:rFonts w:ascii="Arial" w:eastAsia="Calibri" w:hAnsi="Arial" w:cs="Arial"/>
          <w:bCs/>
          <w:lang w:val="es-MX"/>
        </w:rPr>
        <w:t>Copia del oficio de autorización y del plano con sello original del Instituto Nacional de Antropología e Historia en caso de obras en PREDIOS o INMUEBLES ubicados en la Zona de Monumentos Históricos y Zonas de Protección Arqueológica,</w:t>
      </w:r>
    </w:p>
    <w:p w14:paraId="5F7E3F5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18. </w:t>
      </w:r>
      <w:r w:rsidRPr="00553A55">
        <w:rPr>
          <w:rFonts w:ascii="Arial" w:eastAsia="Calibri" w:hAnsi="Arial" w:cs="Arial"/>
          <w:bCs/>
          <w:lang w:val="es-MX"/>
        </w:rPr>
        <w:t xml:space="preserve">Acta Constitutiva del propietario(s), y </w:t>
      </w:r>
    </w:p>
    <w:p w14:paraId="09500DD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19. </w:t>
      </w:r>
      <w:r w:rsidRPr="00553A55">
        <w:rPr>
          <w:rFonts w:ascii="Arial" w:eastAsia="Calibri" w:hAnsi="Arial" w:cs="Arial"/>
          <w:bCs/>
          <w:lang w:val="es-MX"/>
        </w:rPr>
        <w:t>R.F.C. del propietario(s).</w:t>
      </w:r>
    </w:p>
    <w:p w14:paraId="5F2F13BE" w14:textId="77777777" w:rsidR="00553A55" w:rsidRPr="00553A55" w:rsidRDefault="00553A55" w:rsidP="005B0D13">
      <w:pPr>
        <w:autoSpaceDE w:val="0"/>
        <w:autoSpaceDN w:val="0"/>
        <w:adjustRightInd w:val="0"/>
        <w:jc w:val="both"/>
        <w:rPr>
          <w:rFonts w:ascii="Arial" w:eastAsia="Calibri" w:hAnsi="Arial" w:cs="Arial"/>
          <w:b/>
          <w:bCs/>
          <w:lang w:val="es-MX"/>
        </w:rPr>
      </w:pPr>
    </w:p>
    <w:p w14:paraId="2C1553CA"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Requisitos para Permisos de instalación de Anuncios</w:t>
      </w:r>
    </w:p>
    <w:p w14:paraId="493C3836" w14:textId="77777777" w:rsidR="00553A55" w:rsidRPr="00553A55" w:rsidRDefault="00553A55" w:rsidP="005B0D13">
      <w:pPr>
        <w:autoSpaceDE w:val="0"/>
        <w:autoSpaceDN w:val="0"/>
        <w:adjustRightInd w:val="0"/>
        <w:jc w:val="both"/>
        <w:rPr>
          <w:rFonts w:ascii="Arial" w:eastAsia="Calibri" w:hAnsi="Arial" w:cs="Arial"/>
          <w:b/>
          <w:bCs/>
          <w:lang w:val="es-MX"/>
        </w:rPr>
      </w:pPr>
    </w:p>
    <w:p w14:paraId="2645429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Realizar solicitud para la tramitación del permiso de anuncio;</w:t>
      </w:r>
    </w:p>
    <w:p w14:paraId="4A176B1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Fotografía actual del predio;</w:t>
      </w:r>
    </w:p>
    <w:p w14:paraId="7F738CC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Fotomontaje con impresiones a color tamaño carta como mínimo que muestren el aspecto del anuncio, tanto en perspectiva completa de la calle, como de la fachada del edificio donde se pretende fijar o instalar;</w:t>
      </w:r>
    </w:p>
    <w:p w14:paraId="0EED403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Croquis de ubicación en planta, con medidas reales, y</w:t>
      </w:r>
    </w:p>
    <w:p w14:paraId="3EC5F445"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En caso de encontrarse en zona de Monumentos Históricos, deberá entregar copia del permiso del Instituto Nacional de Antropología e Historia (INAH).</w:t>
      </w:r>
    </w:p>
    <w:p w14:paraId="4B38D6EE"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p>
    <w:p w14:paraId="5E9A367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para el Permiso para la Explotación de Banco de Materiales</w:t>
      </w:r>
    </w:p>
    <w:p w14:paraId="5D282A14"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p>
    <w:p w14:paraId="68E3199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Realizar la solicitud de Uso de Suelo;</w:t>
      </w:r>
    </w:p>
    <w:p w14:paraId="6B5A2F1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lastRenderedPageBreak/>
        <w:t xml:space="preserve">2. </w:t>
      </w:r>
      <w:r w:rsidRPr="00553A55">
        <w:rPr>
          <w:rFonts w:ascii="Arial" w:eastAsia="Calibri" w:hAnsi="Arial" w:cs="Arial"/>
          <w:bCs/>
          <w:lang w:val="es-MX"/>
        </w:rPr>
        <w:t>Aprobación por escrito de la SDS para solicitar el permiso de explotación correspondiente;</w:t>
      </w:r>
    </w:p>
    <w:p w14:paraId="7DCC7E4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Autorización vigente para el uso de explosivos otorgados por la SEDENA (en caso de ser utilizados explosivos);</w:t>
      </w:r>
    </w:p>
    <w:p w14:paraId="2914972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Licencia de Uso de Suelo para el trámite de Licencia para Construcción;</w:t>
      </w:r>
    </w:p>
    <w:p w14:paraId="15F7594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Plano del polígono que conforma el terreno con coordenadas y cuadro de áreas, indicando el área a explotar en el semestre, la franja de protección, el área explotada y el área reforestada;</w:t>
      </w:r>
    </w:p>
    <w:p w14:paraId="4D29F0A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Copia de testimonio de escritura pública o documento que acredite la legal posesión del predio;</w:t>
      </w:r>
    </w:p>
    <w:p w14:paraId="5D0154E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Constancia de no adeudo de impuesto Predial del año en curso, con comprobante de pago (2 copias);</w:t>
      </w:r>
    </w:p>
    <w:p w14:paraId="172260B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Constancia de No adeudo de Agua Potable;</w:t>
      </w:r>
    </w:p>
    <w:p w14:paraId="1CE5BEB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Cédula Catastral (2 copias);</w:t>
      </w:r>
    </w:p>
    <w:p w14:paraId="34D2A26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Croquis Catastral;</w:t>
      </w:r>
    </w:p>
    <w:p w14:paraId="0FAD82D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11. </w:t>
      </w:r>
      <w:r w:rsidRPr="00553A55">
        <w:rPr>
          <w:rFonts w:ascii="Arial" w:eastAsia="Calibri" w:hAnsi="Arial" w:cs="Arial"/>
          <w:bCs/>
          <w:lang w:val="es-MX"/>
        </w:rPr>
        <w:t>Resolutivo favorable del manifiesto del impacto ambiental expedido por la SEDUMA, y</w:t>
      </w:r>
    </w:p>
    <w:p w14:paraId="0E8247A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12. </w:t>
      </w:r>
      <w:r w:rsidRPr="00553A55">
        <w:rPr>
          <w:rFonts w:ascii="Arial" w:eastAsia="Calibri" w:hAnsi="Arial" w:cs="Arial"/>
          <w:bCs/>
          <w:lang w:val="es-MX"/>
        </w:rPr>
        <w:t>Programa de restitución del área explotada.</w:t>
      </w:r>
    </w:p>
    <w:p w14:paraId="3702C22E"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p>
    <w:p w14:paraId="7FE03E9E"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Cs/>
          <w:lang w:val="es-MX"/>
        </w:rPr>
        <w:t>NOTA: La vigencia del permiso para la explotación de banco de materiales será de 6 meses</w:t>
      </w:r>
    </w:p>
    <w:p w14:paraId="58CF206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D1B8DC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Autorización de Desarrollo Inmobiliario</w:t>
      </w:r>
    </w:p>
    <w:p w14:paraId="451BBEA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46DC39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Solicitud de autorización de constitución de Desarrollo Inmobiliario dirigida a la Dirección de Desarrollo Urbano;</w:t>
      </w:r>
    </w:p>
    <w:p w14:paraId="11F5572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Factibilidad Urbano Ambiental (FUA);</w:t>
      </w:r>
    </w:p>
    <w:p w14:paraId="0C1DC1E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Licencia de uso de suelo;</w:t>
      </w:r>
    </w:p>
    <w:p w14:paraId="6CA44DA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Poder notarial de Representante legal;</w:t>
      </w:r>
    </w:p>
    <w:p w14:paraId="7643C2E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Copia de Identificación Oficial del Tramitador y/o Propietario;</w:t>
      </w:r>
    </w:p>
    <w:p w14:paraId="2098090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Resolución en materia de impacto ambiental o el documento que determine la Factibilidad Urbana Ambiental emitida por la SEDUMA o SEMARNAT en ámbito de sus competencias;</w:t>
      </w:r>
    </w:p>
    <w:p w14:paraId="039F42E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Dictamen de liberación del INAH. Documento emitido por el INAH, o carta de liberación para los casos donde no se requiere salvamento;</w:t>
      </w:r>
    </w:p>
    <w:p w14:paraId="0FD6B7A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Instrumento público en el que conste la propiedad de los lotes;</w:t>
      </w:r>
    </w:p>
    <w:p w14:paraId="3B50D87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Cédulas y croquis catástrales actualizados;</w:t>
      </w:r>
    </w:p>
    <w:p w14:paraId="278E042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Copia del Impuesto Predial del año en curso;</w:t>
      </w:r>
    </w:p>
    <w:p w14:paraId="0E43519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11. </w:t>
      </w:r>
      <w:r w:rsidRPr="00553A55">
        <w:rPr>
          <w:rFonts w:ascii="Arial" w:eastAsia="Calibri" w:hAnsi="Arial" w:cs="Arial"/>
          <w:bCs/>
          <w:lang w:val="es-MX"/>
        </w:rPr>
        <w:t>Acta Constitutiva de la Empresa;</w:t>
      </w:r>
    </w:p>
    <w:p w14:paraId="479D275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12. </w:t>
      </w:r>
      <w:r w:rsidRPr="00553A55">
        <w:rPr>
          <w:rFonts w:ascii="Arial" w:eastAsia="Calibri" w:hAnsi="Arial" w:cs="Arial"/>
          <w:bCs/>
          <w:lang w:val="es-MX"/>
        </w:rPr>
        <w:t>Información de la situación registral del predio; Emitida por el Instituto de Seguridad Jurídica Patrimonial de Yucatán (INSEJUPY), antes Registro Público de la Propiedad (RPP);</w:t>
      </w:r>
    </w:p>
    <w:p w14:paraId="72FB955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lastRenderedPageBreak/>
        <w:t xml:space="preserve">13. </w:t>
      </w:r>
      <w:r w:rsidRPr="00553A55">
        <w:rPr>
          <w:rFonts w:ascii="Arial" w:eastAsia="Calibri" w:hAnsi="Arial" w:cs="Arial"/>
          <w:bCs/>
          <w:lang w:val="es-MX"/>
        </w:rPr>
        <w:t>Información de la situación registral del predio; Emitida por el Instituto de Seguridad Jurídica Patrimonial de Yucatán (INSEJUPY), antes Registro Público de la Propiedad (RPP);</w:t>
      </w:r>
    </w:p>
    <w:p w14:paraId="389C144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14. </w:t>
      </w:r>
      <w:r w:rsidRPr="00553A55">
        <w:rPr>
          <w:rFonts w:ascii="Arial" w:eastAsia="Calibri" w:hAnsi="Arial" w:cs="Arial"/>
          <w:bCs/>
          <w:lang w:val="es-MX"/>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p w14:paraId="56C399B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15. </w:t>
      </w:r>
      <w:r w:rsidRPr="00553A55">
        <w:rPr>
          <w:rFonts w:ascii="Arial" w:eastAsia="Calibri" w:hAnsi="Arial" w:cs="Arial"/>
          <w:bCs/>
          <w:lang w:val="es-MX"/>
        </w:rPr>
        <w:t>Plano de interconexión vial con la traza urbana;</w:t>
      </w:r>
    </w:p>
    <w:p w14:paraId="28ED408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16. </w:t>
      </w:r>
      <w:r w:rsidRPr="00553A55">
        <w:rPr>
          <w:rFonts w:ascii="Arial" w:eastAsia="Calibri" w:hAnsi="Arial" w:cs="Arial"/>
          <w:bCs/>
          <w:lang w:val="es-MX"/>
        </w:rPr>
        <w:t>Archivo digital que incluya levantamiento topográfico georeferenciado con cuadro de construcción correspondiente. También que incluya todos los archivos digitales de los planos Entregados;</w:t>
      </w:r>
    </w:p>
    <w:p w14:paraId="30D21BB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17. </w:t>
      </w:r>
      <w:r w:rsidRPr="00553A55">
        <w:rPr>
          <w:rFonts w:ascii="Arial" w:eastAsia="Calibri" w:hAnsi="Arial" w:cs="Arial"/>
          <w:bCs/>
          <w:lang w:val="es-MX"/>
        </w:rPr>
        <w:t>Archivo digital georeferenciado del proyecto del desarrollo inmobiliario;</w:t>
      </w:r>
    </w:p>
    <w:p w14:paraId="077F1C8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18. </w:t>
      </w:r>
      <w:r w:rsidRPr="00553A55">
        <w:rPr>
          <w:rFonts w:ascii="Arial" w:eastAsia="Calibri" w:hAnsi="Arial" w:cs="Arial"/>
          <w:bCs/>
          <w:lang w:val="es-MX"/>
        </w:rPr>
        <w:t>Plano topográfico: en el cual estén establecidas las coordenadas del predio, así como el cuadro de construcción y área total del o los predios;</w:t>
      </w:r>
    </w:p>
    <w:p w14:paraId="3276D62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19. </w:t>
      </w:r>
      <w:r w:rsidRPr="00553A55">
        <w:rPr>
          <w:rFonts w:ascii="Arial" w:eastAsia="Calibri" w:hAnsi="Arial" w:cs="Arial"/>
          <w:bCs/>
          <w:lang w:val="es-MX"/>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p w14:paraId="1401EE2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20. </w:t>
      </w:r>
      <w:r w:rsidRPr="00553A55">
        <w:rPr>
          <w:rFonts w:ascii="Arial" w:eastAsia="Calibri" w:hAnsi="Arial" w:cs="Arial"/>
          <w:bCs/>
          <w:lang w:val="es-MX"/>
        </w:rPr>
        <w:t>Estudio de Mecánica de Suelos, Autorización de SCT, Planos con correcciones (p. e.: nuevos sentidos viales, etc.);</w:t>
      </w:r>
    </w:p>
    <w:p w14:paraId="291A4E86"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21. </w:t>
      </w:r>
      <w:r w:rsidRPr="00553A55">
        <w:rPr>
          <w:rFonts w:ascii="Arial" w:eastAsia="Calibri" w:hAnsi="Arial" w:cs="Arial"/>
          <w:bCs/>
          <w:lang w:val="es-MX"/>
        </w:rPr>
        <w:t>Copia del INE del solicitante;</w:t>
      </w:r>
    </w:p>
    <w:p w14:paraId="714323E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22. </w:t>
      </w:r>
      <w:r w:rsidRPr="00553A55">
        <w:rPr>
          <w:rFonts w:ascii="Arial" w:eastAsia="Calibri" w:hAnsi="Arial" w:cs="Arial"/>
          <w:bCs/>
          <w:lang w:val="es-MX"/>
        </w:rPr>
        <w:t>Acta constitutiva de la persona moral, y</w:t>
      </w:r>
    </w:p>
    <w:p w14:paraId="37C60C3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
          <w:bCs/>
          <w:lang w:val="es-MX"/>
        </w:rPr>
      </w:pPr>
      <w:r w:rsidRPr="00553A55">
        <w:rPr>
          <w:rFonts w:ascii="Arial" w:eastAsia="Calibri" w:hAnsi="Arial" w:cs="Arial"/>
          <w:b/>
          <w:bCs/>
          <w:lang w:val="es-MX"/>
        </w:rPr>
        <w:t xml:space="preserve">23. </w:t>
      </w:r>
      <w:r w:rsidRPr="00553A55">
        <w:rPr>
          <w:rFonts w:ascii="Arial" w:eastAsia="Calibri" w:hAnsi="Arial" w:cs="Arial"/>
          <w:bCs/>
          <w:lang w:val="es-MX"/>
        </w:rPr>
        <w:t xml:space="preserve">R.F.C. de la persona moral. </w:t>
      </w:r>
    </w:p>
    <w:p w14:paraId="43D09BF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4FB11DE"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para Demolición o Desmantelamiento</w:t>
      </w:r>
    </w:p>
    <w:p w14:paraId="1EE936A9"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3E2B00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1.</w:t>
      </w:r>
      <w:r w:rsidRPr="00553A55">
        <w:rPr>
          <w:rFonts w:ascii="Arial" w:eastAsia="Calibri" w:hAnsi="Arial" w:cs="Arial"/>
          <w:bCs/>
          <w:lang w:val="es-MX"/>
        </w:rPr>
        <w:t>1 copia de Título de propiedad para acreditar la propiedad;</w:t>
      </w:r>
    </w:p>
    <w:p w14:paraId="5A881D6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Copia del INE del propietario(s) del inmueble para corroborar la legitima propiedad;</w:t>
      </w:r>
    </w:p>
    <w:p w14:paraId="32DD44C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Constancia de no adeudo de impuesto Predial del año en curso, con comprobante de pago (2 copias);</w:t>
      </w:r>
    </w:p>
    <w:p w14:paraId="6DA33A0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Constancia de No adeudo de Agua Potable;</w:t>
      </w:r>
    </w:p>
    <w:p w14:paraId="29F665A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Cédula Catastral (2 copias);</w:t>
      </w:r>
    </w:p>
    <w:p w14:paraId="6CA59CC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Croquis Catastral;</w:t>
      </w:r>
    </w:p>
    <w:p w14:paraId="287CE04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Memoria Descriptiva del proyecto;</w:t>
      </w:r>
    </w:p>
    <w:p w14:paraId="59B4D70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lastRenderedPageBreak/>
        <w:t xml:space="preserve">8. </w:t>
      </w:r>
      <w:r w:rsidRPr="00553A55">
        <w:rPr>
          <w:rFonts w:ascii="Arial" w:eastAsia="Calibri" w:hAnsi="Arial" w:cs="Arial"/>
          <w:bCs/>
          <w:lang w:val="es-MX"/>
        </w:rPr>
        <w:t>Plano de construcción para ver los metros cuadrados a demoler y su respectiva tabla de superficies (planos de anteproyecto);</w:t>
      </w:r>
    </w:p>
    <w:p w14:paraId="09AA6CE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Fotografías del inmueble o predio, y</w:t>
      </w:r>
    </w:p>
    <w:p w14:paraId="6A20C4B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Dictamen de liberación del INAH. Documento emitido por el INAH, o carta de liberación para los casos donde no se requiere salvamento (en caso de ser necesario).</w:t>
      </w:r>
    </w:p>
    <w:p w14:paraId="06268DE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p>
    <w:p w14:paraId="265A2612" w14:textId="77777777" w:rsidR="00553A55" w:rsidRDefault="00553A55" w:rsidP="00553A55">
      <w:pPr>
        <w:autoSpaceDE w:val="0"/>
        <w:autoSpaceDN w:val="0"/>
        <w:adjustRightInd w:val="0"/>
        <w:spacing w:line="360" w:lineRule="auto"/>
        <w:jc w:val="center"/>
        <w:rPr>
          <w:rFonts w:ascii="Arial" w:eastAsia="Calibri" w:hAnsi="Arial" w:cs="Arial"/>
          <w:b/>
          <w:lang w:val="es-MX"/>
        </w:rPr>
      </w:pPr>
    </w:p>
    <w:p w14:paraId="101F657D" w14:textId="77777777" w:rsidR="00553A55" w:rsidRPr="00553A55" w:rsidRDefault="00553A55" w:rsidP="00553A55">
      <w:pPr>
        <w:autoSpaceDE w:val="0"/>
        <w:autoSpaceDN w:val="0"/>
        <w:adjustRightInd w:val="0"/>
        <w:spacing w:line="360" w:lineRule="auto"/>
        <w:jc w:val="center"/>
        <w:rPr>
          <w:rFonts w:ascii="Arial" w:eastAsia="Calibri" w:hAnsi="Arial" w:cs="Arial"/>
          <w:b/>
          <w:lang w:val="es-MX"/>
        </w:rPr>
      </w:pPr>
      <w:r w:rsidRPr="00553A55">
        <w:rPr>
          <w:rFonts w:ascii="Arial" w:eastAsia="Calibri" w:hAnsi="Arial" w:cs="Arial"/>
          <w:b/>
          <w:lang w:val="es-MX"/>
        </w:rPr>
        <w:t>Requisitos la licencia de excavación de zanjas en la vía Publica</w:t>
      </w:r>
    </w:p>
    <w:p w14:paraId="1F851C3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0983F79" w14:textId="77777777" w:rsidR="00553A55" w:rsidRPr="00553A55" w:rsidRDefault="00553A55" w:rsidP="00553A55">
      <w:pPr>
        <w:autoSpaceDE w:val="0"/>
        <w:autoSpaceDN w:val="0"/>
        <w:adjustRightInd w:val="0"/>
        <w:spacing w:line="360" w:lineRule="auto"/>
        <w:jc w:val="both"/>
        <w:rPr>
          <w:rFonts w:ascii="Arial" w:eastAsia="Calibri" w:hAnsi="Arial" w:cs="Arial"/>
          <w:b/>
          <w:lang w:val="es-MX"/>
        </w:rPr>
      </w:pPr>
      <w:r w:rsidRPr="00553A55">
        <w:rPr>
          <w:rFonts w:ascii="Arial" w:eastAsia="Calibri" w:hAnsi="Arial" w:cs="Arial"/>
          <w:b/>
          <w:lang w:val="es-MX"/>
        </w:rPr>
        <w:t xml:space="preserve">1. </w:t>
      </w:r>
      <w:r w:rsidRPr="00553A55">
        <w:rPr>
          <w:rFonts w:ascii="Arial" w:eastAsia="Calibri" w:hAnsi="Arial" w:cs="Arial"/>
          <w:lang w:val="es-MX"/>
        </w:rPr>
        <w:t>Solicitud a la dirección indicando los trabajos a efectuar en la vía pública o espacios públicos, y la duración de los mismos;</w:t>
      </w:r>
    </w:p>
    <w:p w14:paraId="7BC7E87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2.</w:t>
      </w:r>
      <w:r w:rsidRPr="00553A55">
        <w:rPr>
          <w:rFonts w:ascii="Arial" w:eastAsia="Calibri" w:hAnsi="Arial" w:cs="Arial"/>
          <w:lang w:val="es-MX"/>
        </w:rPr>
        <w:t xml:space="preserve"> Memoria descriptiva de la obra a efectuar;</w:t>
      </w:r>
    </w:p>
    <w:p w14:paraId="3F2DD91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 xml:space="preserve">3. </w:t>
      </w:r>
      <w:r w:rsidRPr="00553A55">
        <w:rPr>
          <w:rFonts w:ascii="Arial" w:eastAsia="Calibri" w:hAnsi="Arial" w:cs="Arial"/>
          <w:lang w:val="es-MX"/>
        </w:rPr>
        <w:t>Croquis de localización y ubicación de la obra; 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5CEE730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4.</w:t>
      </w:r>
      <w:r w:rsidRPr="00553A55">
        <w:rPr>
          <w:rFonts w:ascii="Arial" w:eastAsia="Calibri" w:hAnsi="Arial" w:cs="Arial"/>
          <w:lang w:val="es-MX"/>
        </w:rPr>
        <w:t xml:space="preserve"> Copia del plano del proyecto de la obra, con la aprobación de los prestadores de servicios públicos (Junta de Agua Potable y Alcantarillado de Yucatán, Comisión Federal de Electricidad, Teléfonos de México, etc.); Anexar reporte fotográfico, croquis de la JAPAY y croquis de la CFE 1 copia por cada prestador de servicio público;</w:t>
      </w:r>
    </w:p>
    <w:p w14:paraId="42BF3F9D" w14:textId="77777777" w:rsidR="00553A55" w:rsidRPr="00553A55" w:rsidRDefault="00553A55" w:rsidP="00553A55">
      <w:pPr>
        <w:autoSpaceDE w:val="0"/>
        <w:autoSpaceDN w:val="0"/>
        <w:adjustRightInd w:val="0"/>
        <w:spacing w:line="360" w:lineRule="auto"/>
        <w:jc w:val="both"/>
        <w:rPr>
          <w:rFonts w:ascii="Arial" w:eastAsia="Calibri" w:hAnsi="Arial" w:cs="Arial"/>
          <w:b/>
          <w:lang w:val="es-MX"/>
        </w:rPr>
      </w:pPr>
      <w:r w:rsidRPr="00553A55">
        <w:rPr>
          <w:rFonts w:ascii="Arial" w:eastAsia="Calibri" w:hAnsi="Arial" w:cs="Arial"/>
          <w:b/>
          <w:lang w:val="es-MX"/>
        </w:rPr>
        <w:t>5.</w:t>
      </w:r>
      <w:r w:rsidRPr="00553A55">
        <w:rPr>
          <w:rFonts w:ascii="Arial" w:eastAsia="Calibri" w:hAnsi="Arial" w:cs="Arial"/>
          <w:lang w:val="es-MX"/>
        </w:rPr>
        <w:t xml:space="preserve"> 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3DF837B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6.</w:t>
      </w:r>
      <w:r w:rsidRPr="00553A55">
        <w:rPr>
          <w:rFonts w:ascii="Arial" w:eastAsia="Calibri" w:hAnsi="Arial" w:cs="Arial"/>
          <w:lang w:val="es-MX"/>
        </w:rPr>
        <w:t xml:space="preserve"> Entregar presupuesto de Obra; Presentar en hoja membretada y de preferencia con firma del que elabora el presupuesto, y</w:t>
      </w:r>
    </w:p>
    <w:p w14:paraId="767F0EF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lang w:val="es-MX"/>
        </w:rPr>
        <w:t>7.</w:t>
      </w:r>
      <w:r w:rsidRPr="00553A55">
        <w:rPr>
          <w:rFonts w:ascii="Arial" w:eastAsia="Calibri" w:hAnsi="Arial" w:cs="Arial"/>
          <w:lang w:val="es-MX"/>
        </w:rPr>
        <w:t xml:space="preserve"> La autorización del Instituto Nacional de Antropología e Historia en caso de obras que se realicen en la Zona de Monumentos Históricos y Zonas de Protección Arqueológica; Para predios ubicados en Zonas de Patrimonio el Departamento de Licencias para Construcción solicitará el dictamen de Factibilidad al Departamento de Patrimonio Histórico según la ubicación del predio. INAH dirección Km. 6.5 carretera Hunucmá Progreso</w:t>
      </w:r>
    </w:p>
    <w:p w14:paraId="036F3577" w14:textId="77777777" w:rsidR="00553A55" w:rsidRPr="00553A55" w:rsidRDefault="00553A55" w:rsidP="005B0D13">
      <w:pPr>
        <w:autoSpaceDE w:val="0"/>
        <w:autoSpaceDN w:val="0"/>
        <w:adjustRightInd w:val="0"/>
        <w:jc w:val="both"/>
        <w:rPr>
          <w:rFonts w:ascii="Arial" w:eastAsia="Calibri" w:hAnsi="Arial" w:cs="Arial"/>
          <w:b/>
          <w:bCs/>
          <w:lang w:val="es-MX"/>
        </w:rPr>
      </w:pPr>
    </w:p>
    <w:p w14:paraId="5C62CE33"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Requisitos para Constancia de Terminación de Obra</w:t>
      </w:r>
    </w:p>
    <w:p w14:paraId="558D6EAA" w14:textId="77777777" w:rsidR="00553A55" w:rsidRPr="00553A55" w:rsidRDefault="00553A55" w:rsidP="005B0D13">
      <w:pPr>
        <w:autoSpaceDE w:val="0"/>
        <w:autoSpaceDN w:val="0"/>
        <w:adjustRightInd w:val="0"/>
        <w:jc w:val="both"/>
        <w:rPr>
          <w:rFonts w:ascii="Arial" w:eastAsia="Calibri" w:hAnsi="Arial" w:cs="Arial"/>
          <w:b/>
          <w:bCs/>
          <w:lang w:val="es-MX"/>
        </w:rPr>
      </w:pPr>
    </w:p>
    <w:p w14:paraId="2DDB5E6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Solicitud por escrito según el formato proporcionado por la Dirección de Desarrollo Urbano;</w:t>
      </w:r>
    </w:p>
    <w:p w14:paraId="53C2604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lastRenderedPageBreak/>
        <w:t xml:space="preserve">2. </w:t>
      </w:r>
      <w:r w:rsidRPr="00553A55">
        <w:rPr>
          <w:rFonts w:ascii="Arial" w:eastAsia="Calibri" w:hAnsi="Arial" w:cs="Arial"/>
          <w:bCs/>
          <w:lang w:val="es-MX"/>
        </w:rPr>
        <w:t>Copia de plano autorizado;</w:t>
      </w:r>
    </w:p>
    <w:p w14:paraId="62F5489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Copia de licencia única de construcción vigente;</w:t>
      </w:r>
    </w:p>
    <w:p w14:paraId="76EF4BF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Fotos de los exteriores e interiores (4 y 4), y</w:t>
      </w:r>
    </w:p>
    <w:p w14:paraId="5541D43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Constancia de recepción de Sistemas de Tratamiento de Aguas.</w:t>
      </w:r>
    </w:p>
    <w:p w14:paraId="59761BB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p>
    <w:p w14:paraId="6B733BCE"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2312130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de Licencia de Construcción para superficies menores a 60 m2</w:t>
      </w:r>
    </w:p>
    <w:p w14:paraId="076FA079"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06C01A5"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Cs/>
          <w:lang w:val="es-MX"/>
        </w:rPr>
        <w:t>Se deberá llevar la original y una copia de la orden de pago emitida por el Departamento de Desarrollo Urbano y el comprobante de pago emitida por Tesorería para su Sellos en Departamento de Desarrollo Urbano.</w:t>
      </w:r>
    </w:p>
    <w:p w14:paraId="2A87FFEB"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p>
    <w:p w14:paraId="3E71A03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Realizar la solicitud del proyecto para la construcción;</w:t>
      </w:r>
    </w:p>
    <w:p w14:paraId="281BCFD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Comprobante de no adeudo de impuesto predial actualizado (2 copias);</w:t>
      </w:r>
    </w:p>
    <w:p w14:paraId="4E00787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Recibo de no adeudo de agua potable (2 copias);</w:t>
      </w:r>
    </w:p>
    <w:p w14:paraId="031A4A85"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Carta poder (Tramitador);</w:t>
      </w:r>
    </w:p>
    <w:p w14:paraId="22A9894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Copia de Identificación Oficial del Tramitador y/o Propietario;</w:t>
      </w:r>
    </w:p>
    <w:p w14:paraId="5D03AAF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Testimonio de la escritura pública del predio o documento que compruebe la legítima posesión (2 copias);</w:t>
      </w:r>
    </w:p>
    <w:p w14:paraId="70C32F4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Croquis catastral (2 copias);</w:t>
      </w:r>
    </w:p>
    <w:p w14:paraId="0AF9BDA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Cédula Catastral (2 copias);</w:t>
      </w:r>
    </w:p>
    <w:p w14:paraId="29EDFAC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Georreferencia de la localización del inmueble;</w:t>
      </w:r>
    </w:p>
    <w:p w14:paraId="29BB4E5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Fotografías a color del Área a intervenir en el estado actúa (2-4 fotografías a color);</w:t>
      </w:r>
    </w:p>
    <w:p w14:paraId="11B9E8A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11. </w:t>
      </w:r>
      <w:r w:rsidRPr="00553A55">
        <w:rPr>
          <w:rFonts w:ascii="Arial" w:eastAsia="Calibri" w:hAnsi="Arial" w:cs="Arial"/>
          <w:bCs/>
          <w:lang w:val="es-MX"/>
        </w:rPr>
        <w:t xml:space="preserve">Autorización en materia ambiental emitida por la autoridad competente federal (*en caso de ser zona costera) (2 copias), SEMARNAT, y </w:t>
      </w:r>
    </w:p>
    <w:p w14:paraId="241E2DB9"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12. </w:t>
      </w:r>
      <w:r w:rsidRPr="00553A55">
        <w:rPr>
          <w:rFonts w:ascii="Arial" w:eastAsia="Calibri" w:hAnsi="Arial" w:cs="Arial"/>
          <w:bCs/>
          <w:lang w:val="es-MX"/>
        </w:rPr>
        <w:t>Copia del oficio de autorización y del plano con sello original del Instituto Nacional de Antropología e Historia en caso de obras en PREDIOS o INMUEBLES ubicados en la Zona de Monumentos Históricos y Zonas de Protección Arqueológica.</w:t>
      </w:r>
    </w:p>
    <w:p w14:paraId="34CCE5C1" w14:textId="77777777" w:rsidR="00553A55" w:rsidRPr="00553A55" w:rsidRDefault="00553A55" w:rsidP="005B0D13">
      <w:pPr>
        <w:autoSpaceDE w:val="0"/>
        <w:autoSpaceDN w:val="0"/>
        <w:adjustRightInd w:val="0"/>
        <w:contextualSpacing/>
        <w:jc w:val="both"/>
        <w:rPr>
          <w:rFonts w:ascii="Arial" w:eastAsia="Calibri" w:hAnsi="Arial" w:cs="Arial"/>
          <w:bCs/>
          <w:lang w:val="es-MX"/>
        </w:rPr>
      </w:pPr>
    </w:p>
    <w:p w14:paraId="3396E4E5"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Cs/>
          <w:lang w:val="es-MX"/>
        </w:rPr>
        <w:t>Finalizada la obra, se deberá notificar al departamento de Desarrollo Urbano para realizar la Constancia de Terminación de Obra.</w:t>
      </w:r>
    </w:p>
    <w:p w14:paraId="7705580B" w14:textId="77777777" w:rsidR="00553A55" w:rsidRPr="00553A55" w:rsidRDefault="00553A55" w:rsidP="005B0D13">
      <w:pPr>
        <w:autoSpaceDE w:val="0"/>
        <w:autoSpaceDN w:val="0"/>
        <w:adjustRightInd w:val="0"/>
        <w:jc w:val="both"/>
        <w:rPr>
          <w:rFonts w:ascii="Arial" w:eastAsia="Calibri" w:hAnsi="Arial" w:cs="Arial"/>
          <w:bCs/>
          <w:lang w:val="es-MX"/>
        </w:rPr>
      </w:pPr>
    </w:p>
    <w:p w14:paraId="230FA851"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Requisitos para la Constancia de Régimen de Condominio</w:t>
      </w:r>
    </w:p>
    <w:p w14:paraId="2AB8EAE4" w14:textId="77777777" w:rsidR="00553A55" w:rsidRPr="00553A55" w:rsidRDefault="00553A55" w:rsidP="005B0D13">
      <w:pPr>
        <w:autoSpaceDE w:val="0"/>
        <w:autoSpaceDN w:val="0"/>
        <w:adjustRightInd w:val="0"/>
        <w:rPr>
          <w:rFonts w:ascii="Arial" w:eastAsia="Calibri" w:hAnsi="Arial" w:cs="Arial"/>
          <w:b/>
          <w:bCs/>
          <w:lang w:val="es-MX"/>
        </w:rPr>
      </w:pPr>
    </w:p>
    <w:p w14:paraId="131800E7"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p w14:paraId="1AE749C1"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lastRenderedPageBreak/>
        <w:t xml:space="preserve">2. </w:t>
      </w:r>
      <w:r w:rsidRPr="00553A55">
        <w:rPr>
          <w:rFonts w:ascii="Arial" w:eastAsia="Calibri" w:hAnsi="Arial" w:cs="Arial"/>
          <w:bCs/>
          <w:lang w:val="es-MX"/>
        </w:rPr>
        <w:t>Carta de autorización del propietario del inmueble o carta poder firmada ante Notario Público en caso de que el propietario delegue su firma;</w:t>
      </w:r>
    </w:p>
    <w:p w14:paraId="36052E8E"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Copia de identificación oficial vigente del propietario y tramitador;</w:t>
      </w:r>
    </w:p>
    <w:p w14:paraId="7FD7D553"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Estar al corriente del pago del impuesto predial;</w:t>
      </w:r>
    </w:p>
    <w:p w14:paraId="161FC5E5"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Proyecto de la escritura - Copia de escritura pública de la constitución o modificación de Régimen de Propiedad en Condominio;</w:t>
      </w:r>
    </w:p>
    <w:p w14:paraId="5BF795AA"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Oficio del Régimen de Condominio; Autorizado por la Dirección de Desarrollo Urbano del Municipio de Hunucmá ya sea que se trate de constitución o modificación;</w:t>
      </w:r>
    </w:p>
    <w:p w14:paraId="443592CB"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 xml:space="preserve">Hoja de validación de plano en formato oficial validado como correcto por un dibujante empadronado. Conoce la lista de dibujantes ver página o pagar el derecho para una elaboración de planos de gabinete, y </w:t>
      </w:r>
    </w:p>
    <w:p w14:paraId="564D4F22"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Plano del conjunto del condominio, plano de las áreas común y de propiedad exclusiva, planos de los lotes, fracciones o departamentos y tabla de indivisos; todos los planos digitales deber estar en formato AutoCAD.</w:t>
      </w:r>
    </w:p>
    <w:p w14:paraId="6EE1BFF0" w14:textId="77777777" w:rsidR="00553A55" w:rsidRPr="00553A55" w:rsidRDefault="00553A55" w:rsidP="00553A55">
      <w:pPr>
        <w:spacing w:line="360" w:lineRule="auto"/>
        <w:jc w:val="both"/>
        <w:rPr>
          <w:rFonts w:ascii="Arial" w:eastAsia="Calibri" w:hAnsi="Arial" w:cs="Arial"/>
          <w:bCs/>
          <w:lang w:val="es-MX"/>
        </w:rPr>
      </w:pPr>
    </w:p>
    <w:p w14:paraId="658D4C4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Requisitos de Licencia de Construcción para Superficies mayores de 60 m2</w:t>
      </w:r>
    </w:p>
    <w:p w14:paraId="78B5186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567575D0"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Llenar y presentar el formato de solicitud;</w:t>
      </w:r>
    </w:p>
    <w:p w14:paraId="7335A379"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Comprobante de no adeudo de impuesto predial actualizado (2 copias);</w:t>
      </w:r>
    </w:p>
    <w:p w14:paraId="6BCD3CE9"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Recibo de no adeudo de agua potable (2 copias);</w:t>
      </w:r>
    </w:p>
    <w:p w14:paraId="3BA69C79"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Carta poder (Tramitador);</w:t>
      </w:r>
    </w:p>
    <w:p w14:paraId="01CDA21B"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Copia de Identificación Oficial del Tramitador y/o Propietario;</w:t>
      </w:r>
    </w:p>
    <w:p w14:paraId="48D0989C"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Testimonio de la escritura pública del predio o documento que compruebe la legítima posesión (2 copias);</w:t>
      </w:r>
    </w:p>
    <w:p w14:paraId="057B785D"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Croquis catastral (2 copias);</w:t>
      </w:r>
    </w:p>
    <w:p w14:paraId="6CC52A2D"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Cédula Catastral (2 copias);</w:t>
      </w:r>
    </w:p>
    <w:p w14:paraId="62EFE87F"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Archivo digital en AutoCAD en formato DWG;</w:t>
      </w:r>
    </w:p>
    <w:p w14:paraId="28B73C8F"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Plano oficial o proyecto completo de la obra en formato 60X90CMS a escala 1:50, 1:100, 1:75. Legible, con firma original del residente de obra o responsable (perito de obra), en cada una de las copias (3 copias);</w:t>
      </w:r>
    </w:p>
    <w:p w14:paraId="189B0D6C"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11. </w:t>
      </w:r>
      <w:r w:rsidRPr="00553A55">
        <w:rPr>
          <w:rFonts w:ascii="Arial" w:eastAsia="Calibri" w:hAnsi="Arial" w:cs="Arial"/>
          <w:bCs/>
          <w:lang w:val="es-MX"/>
        </w:rPr>
        <w:t>Planos arquitectónicos, Plano estructural, Plano de Instalación Eléctrica, Plano de Instalación Hidráulica y Plano de la instalación sanitaria y pluviales con sus respectivas memorias descriptiva;</w:t>
      </w:r>
    </w:p>
    <w:p w14:paraId="0F5EA90D"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12. </w:t>
      </w:r>
      <w:r w:rsidRPr="00553A55">
        <w:rPr>
          <w:rFonts w:ascii="Arial" w:eastAsia="Calibri" w:hAnsi="Arial" w:cs="Arial"/>
          <w:bCs/>
          <w:lang w:val="es-MX"/>
        </w:rPr>
        <w:t>Fotografías a color del Área a intervenir en el estado actúa (2-4 fotografías a color);</w:t>
      </w:r>
    </w:p>
    <w:p w14:paraId="3D880FC5"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13. </w:t>
      </w:r>
      <w:r w:rsidRPr="00553A55">
        <w:rPr>
          <w:rFonts w:ascii="Arial" w:eastAsia="Calibri" w:hAnsi="Arial" w:cs="Arial"/>
          <w:bCs/>
          <w:lang w:val="es-MX"/>
        </w:rPr>
        <w:t>Licencia de uso de suelo si es diferente a casa habitación (2 copias);</w:t>
      </w:r>
    </w:p>
    <w:p w14:paraId="27D1CD50"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lastRenderedPageBreak/>
        <w:t xml:space="preserve">14. </w:t>
      </w:r>
      <w:r w:rsidRPr="00553A55">
        <w:rPr>
          <w:rFonts w:ascii="Arial" w:eastAsia="Calibri" w:hAnsi="Arial" w:cs="Arial"/>
          <w:bCs/>
          <w:lang w:val="es-MX"/>
        </w:rPr>
        <w:t>Factibilidad urbano ambiental emitida por la autoridad competente estatal en caso de ser un desarrollo habitacional o comercial (2 copias) SDS;</w:t>
      </w:r>
    </w:p>
    <w:p w14:paraId="36BE3A40"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15. </w:t>
      </w:r>
      <w:r w:rsidRPr="00553A55">
        <w:rPr>
          <w:rFonts w:ascii="Arial" w:eastAsia="Calibri" w:hAnsi="Arial" w:cs="Arial"/>
          <w:bCs/>
          <w:lang w:val="es-MX"/>
        </w:rPr>
        <w:t>Autorización en materia ambiental emitida por la autoridad competente federal (*en caso de ser zona costera) (2 copias), SEMARNAT;</w:t>
      </w:r>
    </w:p>
    <w:p w14:paraId="3ACD67F7"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16. </w:t>
      </w:r>
      <w:r w:rsidRPr="00553A55">
        <w:rPr>
          <w:rFonts w:ascii="Arial" w:eastAsia="Calibri" w:hAnsi="Arial" w:cs="Arial"/>
          <w:bCs/>
          <w:lang w:val="es-MX"/>
        </w:rPr>
        <w:t>Copia del oficio de autorización y del plano con sello original del Instituto Nacional de Antropología e Historia en caso de obras en PREDIOS o INMUEBLES ubicados en la Zona de Monumentos Históricos y Zonas de Protección Arqueológica;</w:t>
      </w:r>
    </w:p>
    <w:p w14:paraId="751A49D7" w14:textId="77777777" w:rsidR="00553A55" w:rsidRPr="00553A55" w:rsidRDefault="00553A55" w:rsidP="00553A55">
      <w:pPr>
        <w:spacing w:line="360" w:lineRule="auto"/>
        <w:jc w:val="both"/>
        <w:rPr>
          <w:rFonts w:ascii="Arial" w:eastAsia="Calibri" w:hAnsi="Arial" w:cs="Arial"/>
          <w:bCs/>
          <w:lang w:val="es-MX"/>
        </w:rPr>
      </w:pPr>
      <w:r w:rsidRPr="00553A55">
        <w:rPr>
          <w:rFonts w:ascii="Arial" w:eastAsia="Calibri" w:hAnsi="Arial" w:cs="Arial"/>
          <w:b/>
          <w:bCs/>
          <w:lang w:val="es-MX"/>
        </w:rPr>
        <w:t xml:space="preserve">17. </w:t>
      </w:r>
      <w:r w:rsidRPr="00553A55">
        <w:rPr>
          <w:rFonts w:ascii="Arial" w:eastAsia="Calibri" w:hAnsi="Arial" w:cs="Arial"/>
          <w:bCs/>
          <w:lang w:val="es-MX"/>
        </w:rPr>
        <w:t>Acta Constitutiva de la persona Moral, y</w:t>
      </w:r>
    </w:p>
    <w:p w14:paraId="0C8FB884" w14:textId="77777777" w:rsidR="00553A55" w:rsidRPr="00553A55" w:rsidRDefault="00553A55" w:rsidP="00553A55">
      <w:pPr>
        <w:autoSpaceDE w:val="0"/>
        <w:autoSpaceDN w:val="0"/>
        <w:adjustRightInd w:val="0"/>
        <w:spacing w:line="360" w:lineRule="auto"/>
        <w:jc w:val="both"/>
        <w:rPr>
          <w:rFonts w:ascii="Arial" w:hAnsi="Arial" w:cs="Arial"/>
          <w:b/>
          <w:bCs/>
          <w:lang w:val="es-MX" w:eastAsia="es-MX"/>
        </w:rPr>
      </w:pPr>
      <w:r w:rsidRPr="00553A55">
        <w:rPr>
          <w:rFonts w:ascii="Arial" w:eastAsia="Calibri" w:hAnsi="Arial" w:cs="Arial"/>
          <w:b/>
          <w:bCs/>
          <w:lang w:val="es-MX"/>
        </w:rPr>
        <w:t xml:space="preserve">18. </w:t>
      </w:r>
      <w:r w:rsidRPr="00553A55">
        <w:rPr>
          <w:rFonts w:ascii="Arial" w:eastAsia="Calibri" w:hAnsi="Arial" w:cs="Arial"/>
          <w:bCs/>
          <w:lang w:val="es-MX"/>
        </w:rPr>
        <w:t>R.F.C. del propietario (s).</w:t>
      </w:r>
    </w:p>
    <w:p w14:paraId="00A659BA" w14:textId="77777777" w:rsidR="00553A55" w:rsidRPr="00553A55" w:rsidRDefault="00553A55" w:rsidP="00553A55">
      <w:pPr>
        <w:autoSpaceDE w:val="0"/>
        <w:autoSpaceDN w:val="0"/>
        <w:adjustRightInd w:val="0"/>
        <w:spacing w:line="360" w:lineRule="auto"/>
        <w:jc w:val="center"/>
        <w:rPr>
          <w:rFonts w:ascii="Arial" w:hAnsi="Arial" w:cs="Arial"/>
          <w:b/>
          <w:bCs/>
          <w:lang w:val="es-MX" w:eastAsia="es-MX"/>
        </w:rPr>
      </w:pPr>
    </w:p>
    <w:p w14:paraId="08CCE9C6" w14:textId="77777777" w:rsidR="00553A55" w:rsidRPr="00553A55" w:rsidRDefault="00553A55" w:rsidP="00553A55">
      <w:pPr>
        <w:autoSpaceDE w:val="0"/>
        <w:autoSpaceDN w:val="0"/>
        <w:adjustRightInd w:val="0"/>
        <w:spacing w:line="360" w:lineRule="auto"/>
        <w:jc w:val="center"/>
        <w:rPr>
          <w:rFonts w:ascii="Arial" w:hAnsi="Arial" w:cs="Arial"/>
          <w:b/>
          <w:bCs/>
          <w:lang w:val="es-MX" w:eastAsia="es-MX"/>
        </w:rPr>
      </w:pPr>
      <w:r w:rsidRPr="00553A55">
        <w:rPr>
          <w:rFonts w:ascii="Arial" w:hAnsi="Arial" w:cs="Arial"/>
          <w:b/>
          <w:bCs/>
          <w:lang w:val="es-MX" w:eastAsia="es-MX"/>
        </w:rPr>
        <w:t>Los planos que se solicitan son los del proyecto completo</w:t>
      </w:r>
    </w:p>
    <w:p w14:paraId="3831030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B4F294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Planta de conjunto acotada conforme al terreno acreditado, señalando a la ubicación de la construcción en el terreno, pendientes y descargas pluviales;</w:t>
      </w:r>
    </w:p>
    <w:p w14:paraId="36EF949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2. </w:t>
      </w:r>
      <w:r w:rsidRPr="00553A55">
        <w:rPr>
          <w:rFonts w:ascii="Arial" w:eastAsia="Calibri" w:hAnsi="Arial" w:cs="Arial"/>
          <w:bCs/>
          <w:lang w:val="es-MX"/>
        </w:rPr>
        <w:t>Plantas arquitectónicas (en todas debe estar señalado el desagüe pluvial);</w:t>
      </w:r>
    </w:p>
    <w:p w14:paraId="2024FC4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3.</w:t>
      </w:r>
      <w:r w:rsidRPr="00553A55">
        <w:rPr>
          <w:rFonts w:ascii="Arial" w:eastAsia="Calibri" w:hAnsi="Arial" w:cs="Arial"/>
          <w:bCs/>
          <w:lang w:val="es-MX"/>
        </w:rPr>
        <w:t xml:space="preserve"> Cortes sanitarios;</w:t>
      </w:r>
    </w:p>
    <w:p w14:paraId="45EE7D2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Fachadas;</w:t>
      </w:r>
    </w:p>
    <w:p w14:paraId="6943B00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Detalles constructivos de losas, cimientos y sistemas de eliminación de aguas residuales;</w:t>
      </w:r>
    </w:p>
    <w:p w14:paraId="64C42613"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Planos estructurales;</w:t>
      </w:r>
    </w:p>
    <w:p w14:paraId="53F58F9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Dos cortes (Longitudinal y transversal);</w:t>
      </w:r>
    </w:p>
    <w:p w14:paraId="0E91F11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Memoria de cálculo (si es necesario en el proyecto);</w:t>
      </w:r>
    </w:p>
    <w:p w14:paraId="0FDACE68"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Plano de instalaciones, y</w:t>
      </w:r>
    </w:p>
    <w:p w14:paraId="582D3775"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Instalaciones especiales.</w:t>
      </w:r>
    </w:p>
    <w:p w14:paraId="59B56EE0" w14:textId="77777777" w:rsidR="00553A55" w:rsidRPr="00553A55" w:rsidRDefault="00553A55" w:rsidP="005B0D13">
      <w:pPr>
        <w:autoSpaceDE w:val="0"/>
        <w:autoSpaceDN w:val="0"/>
        <w:adjustRightInd w:val="0"/>
        <w:jc w:val="both"/>
        <w:rPr>
          <w:rFonts w:ascii="Arial" w:eastAsia="Calibri" w:hAnsi="Arial" w:cs="Arial"/>
          <w:b/>
          <w:bCs/>
          <w:lang w:val="es-MX"/>
        </w:rPr>
      </w:pPr>
    </w:p>
    <w:p w14:paraId="206B6C61"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Cs/>
          <w:lang w:val="es-MX"/>
        </w:rPr>
        <w:t>En caso en que el proyecto genere condiciones de alteración de estabilidad de suelo, presentar estudio de geotecnia y planos con las especificaciones.</w:t>
      </w:r>
    </w:p>
    <w:p w14:paraId="54299962" w14:textId="77777777" w:rsidR="00553A55" w:rsidRPr="00553A55" w:rsidRDefault="00553A55" w:rsidP="005B0D13">
      <w:pPr>
        <w:autoSpaceDE w:val="0"/>
        <w:autoSpaceDN w:val="0"/>
        <w:adjustRightInd w:val="0"/>
        <w:jc w:val="both"/>
        <w:rPr>
          <w:rFonts w:ascii="Arial" w:eastAsia="Calibri" w:hAnsi="Arial" w:cs="Arial"/>
          <w:bCs/>
          <w:lang w:val="es-MX"/>
        </w:rPr>
      </w:pPr>
    </w:p>
    <w:p w14:paraId="5AEE1DC4"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Cs/>
          <w:lang w:val="es-MX"/>
        </w:rPr>
        <w:t>Se deberá llevar la original y una copia de la orden de pago emitida por el Departamento de Desarrollo Urbano y el comprobante de pago emitida por Tesorería para su Sellos en Departamento de Desarrollo Urbano.</w:t>
      </w:r>
    </w:p>
    <w:p w14:paraId="7BF8C7E2" w14:textId="77777777" w:rsidR="00553A55" w:rsidRPr="00553A55" w:rsidRDefault="00553A55" w:rsidP="005B0D13">
      <w:pPr>
        <w:autoSpaceDE w:val="0"/>
        <w:autoSpaceDN w:val="0"/>
        <w:adjustRightInd w:val="0"/>
        <w:jc w:val="both"/>
        <w:rPr>
          <w:rFonts w:ascii="Arial" w:eastAsia="Calibri" w:hAnsi="Arial" w:cs="Arial"/>
          <w:bCs/>
          <w:lang w:val="es-MX"/>
        </w:rPr>
      </w:pPr>
    </w:p>
    <w:p w14:paraId="12192795"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r w:rsidRPr="00553A55">
        <w:rPr>
          <w:rFonts w:ascii="Arial" w:eastAsia="Calibri" w:hAnsi="Arial" w:cs="Arial"/>
          <w:bCs/>
          <w:lang w:val="es-MX"/>
        </w:rPr>
        <w:t>Finalizada la obra, se deberá notificar al departamento de Desarrollo Urbano para realizar la Constancia de Terminación de Obra.</w:t>
      </w:r>
    </w:p>
    <w:p w14:paraId="6A1049FB" w14:textId="77777777" w:rsidR="00553A55" w:rsidRPr="00553A55" w:rsidRDefault="00553A55" w:rsidP="005B0D13">
      <w:pPr>
        <w:autoSpaceDE w:val="0"/>
        <w:autoSpaceDN w:val="0"/>
        <w:adjustRightInd w:val="0"/>
        <w:jc w:val="both"/>
        <w:rPr>
          <w:rFonts w:ascii="Arial" w:eastAsia="Calibri" w:hAnsi="Arial" w:cs="Arial"/>
          <w:b/>
          <w:bCs/>
          <w:lang w:val="es-MX"/>
        </w:rPr>
      </w:pPr>
    </w:p>
    <w:p w14:paraId="0DF30DA2" w14:textId="77777777" w:rsidR="00553A55" w:rsidRPr="00553A55" w:rsidRDefault="00553A55" w:rsidP="005B0D13">
      <w:pPr>
        <w:autoSpaceDE w:val="0"/>
        <w:autoSpaceDN w:val="0"/>
        <w:adjustRightInd w:val="0"/>
        <w:jc w:val="center"/>
        <w:rPr>
          <w:rFonts w:ascii="Arial" w:eastAsia="Calibri" w:hAnsi="Arial" w:cs="Arial"/>
          <w:b/>
          <w:bCs/>
          <w:lang w:val="es-MX"/>
        </w:rPr>
      </w:pPr>
      <w:r w:rsidRPr="00553A55">
        <w:rPr>
          <w:rFonts w:ascii="Arial" w:eastAsia="Calibri" w:hAnsi="Arial" w:cs="Arial"/>
          <w:b/>
          <w:bCs/>
          <w:lang w:val="es-MX"/>
        </w:rPr>
        <w:t>Requerimientos de Planos</w:t>
      </w:r>
    </w:p>
    <w:p w14:paraId="405EC57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ECA0FE5"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 </w:t>
      </w:r>
      <w:r w:rsidRPr="00553A55">
        <w:rPr>
          <w:rFonts w:ascii="Arial" w:eastAsia="Calibri" w:hAnsi="Arial" w:cs="Arial"/>
          <w:bCs/>
          <w:lang w:val="es-MX"/>
        </w:rPr>
        <w:t>El plano debe tener una dimensión de 90x60cm;</w:t>
      </w:r>
    </w:p>
    <w:p w14:paraId="78D0775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lastRenderedPageBreak/>
        <w:t xml:space="preserve">2. </w:t>
      </w:r>
      <w:r w:rsidRPr="00553A55">
        <w:rPr>
          <w:rFonts w:ascii="Arial" w:eastAsia="Calibri" w:hAnsi="Arial" w:cs="Arial"/>
          <w:bCs/>
          <w:lang w:val="es-MX"/>
        </w:rPr>
        <w:t>Nombre y clave del plano;</w:t>
      </w:r>
    </w:p>
    <w:p w14:paraId="70802D4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3. </w:t>
      </w:r>
      <w:r w:rsidRPr="00553A55">
        <w:rPr>
          <w:rFonts w:ascii="Arial" w:eastAsia="Calibri" w:hAnsi="Arial" w:cs="Arial"/>
          <w:bCs/>
          <w:lang w:val="es-MX"/>
        </w:rPr>
        <w:t>Nombre del proyecto;</w:t>
      </w:r>
    </w:p>
    <w:p w14:paraId="005719B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4. </w:t>
      </w:r>
      <w:r w:rsidRPr="00553A55">
        <w:rPr>
          <w:rFonts w:ascii="Arial" w:eastAsia="Calibri" w:hAnsi="Arial" w:cs="Arial"/>
          <w:bCs/>
          <w:lang w:val="es-MX"/>
        </w:rPr>
        <w:t>Ubicación exacta del lugar a ubicar el proyecto: Calle, número, colonia. (Debe coincidir con el croquis catastral);</w:t>
      </w:r>
    </w:p>
    <w:p w14:paraId="2882A8F2"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5. </w:t>
      </w:r>
      <w:r w:rsidRPr="00553A55">
        <w:rPr>
          <w:rFonts w:ascii="Arial" w:eastAsia="Calibri" w:hAnsi="Arial" w:cs="Arial"/>
          <w:bCs/>
          <w:lang w:val="es-MX"/>
        </w:rPr>
        <w:t>Norte;</w:t>
      </w:r>
    </w:p>
    <w:p w14:paraId="3798247B"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6. </w:t>
      </w:r>
      <w:r w:rsidRPr="00553A55">
        <w:rPr>
          <w:rFonts w:ascii="Arial" w:eastAsia="Calibri" w:hAnsi="Arial" w:cs="Arial"/>
          <w:bCs/>
          <w:lang w:val="es-MX"/>
        </w:rPr>
        <w:t>Croquis de localización, ubicando el lote en la zona con un radio de 250 metros;</w:t>
      </w:r>
    </w:p>
    <w:p w14:paraId="62BC5F5E"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7. </w:t>
      </w:r>
      <w:r w:rsidRPr="00553A55">
        <w:rPr>
          <w:rFonts w:ascii="Arial" w:eastAsia="Calibri" w:hAnsi="Arial" w:cs="Arial"/>
          <w:bCs/>
          <w:lang w:val="es-MX"/>
        </w:rPr>
        <w:t>Escala del plano (la escala debe ser una que se pueda corroborar);</w:t>
      </w:r>
    </w:p>
    <w:p w14:paraId="6FA38D6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8. </w:t>
      </w:r>
      <w:r w:rsidRPr="00553A55">
        <w:rPr>
          <w:rFonts w:ascii="Arial" w:eastAsia="Calibri" w:hAnsi="Arial" w:cs="Arial"/>
          <w:bCs/>
          <w:lang w:val="es-MX"/>
        </w:rPr>
        <w:t>Nombre del que dibuja, proyecta y/o construye con o sin logotipo personalizado;</w:t>
      </w:r>
    </w:p>
    <w:p w14:paraId="7075D7E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9. </w:t>
      </w:r>
      <w:r w:rsidRPr="00553A55">
        <w:rPr>
          <w:rFonts w:ascii="Arial" w:eastAsia="Calibri" w:hAnsi="Arial" w:cs="Arial"/>
          <w:bCs/>
          <w:lang w:val="es-MX"/>
        </w:rPr>
        <w:t>Nombre y datos del PCM con firma de este;</w:t>
      </w:r>
    </w:p>
    <w:p w14:paraId="73E9A1FF"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10. </w:t>
      </w:r>
      <w:r w:rsidRPr="00553A55">
        <w:rPr>
          <w:rFonts w:ascii="Arial" w:eastAsia="Calibri" w:hAnsi="Arial" w:cs="Arial"/>
          <w:bCs/>
          <w:lang w:val="es-MX"/>
        </w:rPr>
        <w:t>Fecha;</w:t>
      </w:r>
    </w:p>
    <w:p w14:paraId="64F89A10"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11. </w:t>
      </w:r>
      <w:r w:rsidRPr="00553A55">
        <w:rPr>
          <w:rFonts w:ascii="Arial" w:eastAsia="Calibri" w:hAnsi="Arial" w:cs="Arial"/>
          <w:bCs/>
          <w:lang w:val="es-MX"/>
        </w:rPr>
        <w:t>Simbología;</w:t>
      </w:r>
    </w:p>
    <w:p w14:paraId="303B3D57"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12. </w:t>
      </w:r>
      <w:r w:rsidRPr="00553A55">
        <w:rPr>
          <w:rFonts w:ascii="Arial" w:eastAsia="Calibri" w:hAnsi="Arial" w:cs="Arial"/>
          <w:bCs/>
          <w:lang w:val="es-MX"/>
        </w:rPr>
        <w:t xml:space="preserve">Nombre del propietario, y </w:t>
      </w:r>
    </w:p>
    <w:p w14:paraId="6BAD112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bCs/>
          <w:lang w:val="es-MX"/>
        </w:rPr>
      </w:pPr>
      <w:r w:rsidRPr="00553A55">
        <w:rPr>
          <w:rFonts w:ascii="Arial" w:eastAsia="Calibri" w:hAnsi="Arial" w:cs="Arial"/>
          <w:b/>
          <w:bCs/>
          <w:lang w:val="es-MX"/>
        </w:rPr>
        <w:t xml:space="preserve">13. </w:t>
      </w:r>
      <w:r w:rsidRPr="00553A55">
        <w:rPr>
          <w:rFonts w:ascii="Arial" w:eastAsia="Calibri" w:hAnsi="Arial" w:cs="Arial"/>
          <w:bCs/>
          <w:lang w:val="es-MX"/>
        </w:rPr>
        <w:t>Tabla de superficies: estado actual (si existe alguna construcción), ampliación o construcción nueva. Para determinar los metros cuadrados de construcción.</w:t>
      </w:r>
    </w:p>
    <w:p w14:paraId="69785AF0" w14:textId="77777777" w:rsidR="00553A55" w:rsidRPr="00553A55" w:rsidRDefault="00553A55" w:rsidP="00553A55">
      <w:pPr>
        <w:autoSpaceDE w:val="0"/>
        <w:autoSpaceDN w:val="0"/>
        <w:adjustRightInd w:val="0"/>
        <w:spacing w:line="360" w:lineRule="auto"/>
        <w:jc w:val="both"/>
        <w:rPr>
          <w:rFonts w:ascii="Arial" w:eastAsia="Calibri" w:hAnsi="Arial" w:cs="Arial"/>
          <w:bCs/>
          <w:lang w:val="es-MX"/>
        </w:rPr>
      </w:pPr>
    </w:p>
    <w:p w14:paraId="49458B91" w14:textId="77777777" w:rsidR="00553A55" w:rsidRPr="00553A55" w:rsidRDefault="00553A55" w:rsidP="00553A55">
      <w:pPr>
        <w:spacing w:line="360" w:lineRule="auto"/>
        <w:jc w:val="center"/>
        <w:rPr>
          <w:rFonts w:ascii="Arial" w:eastAsia="Calibri" w:hAnsi="Arial" w:cs="Arial"/>
          <w:b/>
          <w:color w:val="000000"/>
          <w:lang w:val="es-MX"/>
        </w:rPr>
      </w:pPr>
      <w:bookmarkStart w:id="2" w:name="_Hlk151548102"/>
      <w:r w:rsidRPr="00553A55">
        <w:rPr>
          <w:rFonts w:ascii="Arial" w:eastAsia="Calibri" w:hAnsi="Arial" w:cs="Arial"/>
          <w:b/>
          <w:color w:val="000000"/>
          <w:lang w:val="es-MX"/>
        </w:rPr>
        <w:t>Requisitos para donación de calle</w:t>
      </w:r>
    </w:p>
    <w:p w14:paraId="0C08267A" w14:textId="77777777" w:rsidR="00553A55" w:rsidRPr="00553A55" w:rsidRDefault="00553A55" w:rsidP="00553A55">
      <w:pPr>
        <w:spacing w:line="360" w:lineRule="auto"/>
        <w:jc w:val="center"/>
        <w:rPr>
          <w:rFonts w:ascii="Arial" w:eastAsia="Calibri" w:hAnsi="Arial" w:cs="Arial"/>
          <w:b/>
          <w:color w:val="000000"/>
          <w:lang w:val="es-MX"/>
        </w:rPr>
      </w:pPr>
    </w:p>
    <w:p w14:paraId="2FB8BFE8" w14:textId="77777777" w:rsidR="00553A55" w:rsidRPr="00553A55" w:rsidRDefault="00553A55" w:rsidP="00553A55">
      <w:pPr>
        <w:spacing w:line="360" w:lineRule="auto"/>
        <w:contextualSpacing/>
        <w:jc w:val="both"/>
        <w:rPr>
          <w:rFonts w:ascii="Arial" w:hAnsi="Arial" w:cs="Arial"/>
          <w:color w:val="000000"/>
          <w:lang w:val="es-MX" w:eastAsia="es-MX"/>
        </w:rPr>
      </w:pPr>
      <w:r w:rsidRPr="00553A55">
        <w:rPr>
          <w:rFonts w:ascii="Arial" w:hAnsi="Arial" w:cs="Arial"/>
          <w:b/>
          <w:bCs/>
          <w:color w:val="000000"/>
          <w:lang w:val="es-MX" w:eastAsia="es-MX"/>
        </w:rPr>
        <w:t>1.</w:t>
      </w:r>
      <w:r w:rsidRPr="00553A55">
        <w:rPr>
          <w:rFonts w:ascii="Arial" w:hAnsi="Arial" w:cs="Arial"/>
          <w:bCs/>
          <w:color w:val="000000"/>
          <w:lang w:val="es-MX" w:eastAsia="es-MX"/>
        </w:rPr>
        <w:t xml:space="preserve"> </w:t>
      </w:r>
      <w:r w:rsidRPr="00553A55">
        <w:rPr>
          <w:rFonts w:ascii="Arial" w:hAnsi="Arial" w:cs="Arial"/>
          <w:b/>
          <w:bCs/>
          <w:color w:val="000000"/>
          <w:lang w:val="es-MX" w:eastAsia="es-MX"/>
        </w:rPr>
        <w:t>Solicitud de Aprobación de Área de Donación y Vialidades a favor del Municipio de Hunucmá, Yucatán, el cual contendrá lo siguiente:</w:t>
      </w:r>
    </w:p>
    <w:p w14:paraId="5DA6F9DA" w14:textId="77777777" w:rsidR="00553A55" w:rsidRPr="00553A55" w:rsidRDefault="00553A55" w:rsidP="00553A55">
      <w:pPr>
        <w:spacing w:line="360" w:lineRule="auto"/>
        <w:ind w:firstLine="284"/>
        <w:contextualSpacing/>
        <w:rPr>
          <w:rFonts w:ascii="Arial" w:hAnsi="Arial" w:cs="Arial"/>
          <w:color w:val="000000"/>
          <w:lang w:val="es-MX" w:eastAsia="es-MX"/>
        </w:rPr>
      </w:pPr>
      <w:r w:rsidRPr="00553A55">
        <w:rPr>
          <w:rFonts w:ascii="Arial" w:hAnsi="Arial" w:cs="Arial"/>
          <w:b/>
          <w:color w:val="000000"/>
          <w:lang w:val="es-MX" w:eastAsia="es-MX"/>
        </w:rPr>
        <w:t>a)</w:t>
      </w:r>
      <w:r w:rsidRPr="00553A55">
        <w:rPr>
          <w:rFonts w:ascii="Arial" w:hAnsi="Arial" w:cs="Arial"/>
          <w:color w:val="000000"/>
          <w:lang w:val="es-MX" w:eastAsia="es-MX"/>
        </w:rPr>
        <w:t xml:space="preserve"> Descripción: Señalar en el escrito quien es el donante, la ubicación del área a donar, así como la extensión total del mismo, y</w:t>
      </w:r>
    </w:p>
    <w:p w14:paraId="69CC007A" w14:textId="77777777" w:rsidR="00553A55" w:rsidRPr="00553A55" w:rsidRDefault="00553A55" w:rsidP="00553A55">
      <w:pPr>
        <w:spacing w:line="360" w:lineRule="auto"/>
        <w:ind w:firstLine="284"/>
        <w:contextualSpacing/>
        <w:rPr>
          <w:rFonts w:ascii="Arial" w:hAnsi="Arial" w:cs="Arial"/>
          <w:color w:val="000000"/>
          <w:lang w:val="es-MX" w:eastAsia="es-MX"/>
        </w:rPr>
      </w:pPr>
      <w:r w:rsidRPr="00553A55">
        <w:rPr>
          <w:rFonts w:ascii="Arial" w:hAnsi="Arial" w:cs="Arial"/>
          <w:b/>
          <w:color w:val="000000"/>
          <w:lang w:val="es-MX" w:eastAsia="es-MX"/>
        </w:rPr>
        <w:t>b)</w:t>
      </w:r>
      <w:r w:rsidRPr="00553A55">
        <w:rPr>
          <w:rFonts w:ascii="Arial" w:hAnsi="Arial" w:cs="Arial"/>
          <w:color w:val="000000"/>
          <w:lang w:val="es-MX" w:eastAsia="es-MX"/>
        </w:rPr>
        <w:t xml:space="preserve"> Forma de presentación: ESCRITO LIBRE. </w:t>
      </w:r>
    </w:p>
    <w:p w14:paraId="523B31D2" w14:textId="77777777" w:rsidR="00553A55" w:rsidRPr="00553A55" w:rsidRDefault="00553A55" w:rsidP="00553A55">
      <w:pPr>
        <w:spacing w:line="360" w:lineRule="auto"/>
        <w:contextualSpacing/>
        <w:jc w:val="both"/>
        <w:rPr>
          <w:rFonts w:ascii="Arial" w:eastAsia="Calibri" w:hAnsi="Arial" w:cs="Arial"/>
          <w:color w:val="000000"/>
          <w:lang w:val="es-MX"/>
        </w:rPr>
      </w:pPr>
      <w:r w:rsidRPr="00553A55">
        <w:rPr>
          <w:rFonts w:ascii="Arial" w:eastAsia="Calibri" w:hAnsi="Arial" w:cs="Arial"/>
          <w:b/>
          <w:color w:val="000000"/>
          <w:shd w:val="clear" w:color="auto" w:fill="FFFFFF"/>
          <w:lang w:val="es-MX"/>
        </w:rPr>
        <w:t xml:space="preserve">2. </w:t>
      </w:r>
      <w:r w:rsidRPr="00553A55">
        <w:rPr>
          <w:rFonts w:ascii="Arial" w:eastAsia="Calibri" w:hAnsi="Arial" w:cs="Arial"/>
          <w:color w:val="000000"/>
          <w:shd w:val="clear" w:color="auto" w:fill="FFFFFF"/>
          <w:lang w:val="es-MX"/>
        </w:rPr>
        <w:t xml:space="preserve">Aprobación del Cabildo de las áreas de donación y vialidades a favor del Municipio de Hunucmá, Yucatán. </w:t>
      </w:r>
    </w:p>
    <w:p w14:paraId="43F3158A" w14:textId="77777777" w:rsidR="00553A55" w:rsidRPr="00553A55" w:rsidRDefault="00553A55" w:rsidP="00553A55">
      <w:pPr>
        <w:spacing w:line="360" w:lineRule="auto"/>
        <w:contextualSpacing/>
        <w:jc w:val="both"/>
        <w:rPr>
          <w:rFonts w:ascii="Arial" w:eastAsia="Calibri" w:hAnsi="Arial" w:cs="Arial"/>
          <w:b/>
          <w:color w:val="000000"/>
          <w:lang w:val="es-MX"/>
        </w:rPr>
      </w:pPr>
      <w:r w:rsidRPr="00553A55">
        <w:rPr>
          <w:rFonts w:ascii="Arial" w:hAnsi="Arial" w:cs="Arial"/>
          <w:b/>
          <w:bCs/>
          <w:color w:val="000000"/>
          <w:lang w:val="es-MX" w:eastAsia="es-MX"/>
        </w:rPr>
        <w:t xml:space="preserve">3. </w:t>
      </w:r>
      <w:r w:rsidRPr="00553A55">
        <w:rPr>
          <w:rFonts w:ascii="Arial" w:hAnsi="Arial" w:cs="Arial"/>
          <w:bCs/>
          <w:color w:val="000000"/>
          <w:lang w:val="es-MX" w:eastAsia="es-MX"/>
        </w:rPr>
        <w:t xml:space="preserve">Proyecto de escritura el cual contendrá lo siguiente: </w:t>
      </w:r>
    </w:p>
    <w:p w14:paraId="5F8E1736" w14:textId="77777777" w:rsidR="00553A55" w:rsidRPr="00553A55" w:rsidRDefault="00553A55" w:rsidP="00553A55">
      <w:pPr>
        <w:spacing w:line="360" w:lineRule="auto"/>
        <w:ind w:firstLine="284"/>
        <w:contextualSpacing/>
        <w:jc w:val="both"/>
        <w:rPr>
          <w:rFonts w:ascii="Arial" w:eastAsia="Calibri" w:hAnsi="Arial" w:cs="Arial"/>
          <w:b/>
          <w:color w:val="000000"/>
          <w:lang w:val="es-MX"/>
        </w:rPr>
      </w:pPr>
      <w:r w:rsidRPr="00553A55">
        <w:rPr>
          <w:rFonts w:ascii="Arial" w:hAnsi="Arial" w:cs="Arial"/>
          <w:b/>
          <w:bCs/>
          <w:color w:val="000000"/>
          <w:lang w:val="es-MX" w:eastAsia="es-MX"/>
        </w:rPr>
        <w:t>a)</w:t>
      </w:r>
      <w:r w:rsidRPr="00553A55">
        <w:rPr>
          <w:rFonts w:ascii="Arial" w:hAnsi="Arial" w:cs="Arial"/>
          <w:bCs/>
          <w:color w:val="000000"/>
          <w:lang w:val="es-MX" w:eastAsia="es-MX"/>
        </w:rPr>
        <w:t xml:space="preserve"> </w:t>
      </w:r>
      <w:r w:rsidRPr="00553A55">
        <w:rPr>
          <w:rFonts w:ascii="Arial" w:hAnsi="Arial" w:cs="Arial"/>
          <w:b/>
          <w:bCs/>
          <w:color w:val="000000"/>
          <w:lang w:val="es-MX" w:eastAsia="es-MX"/>
        </w:rPr>
        <w:t>Descripción: </w:t>
      </w:r>
      <w:r w:rsidRPr="00553A55">
        <w:rPr>
          <w:rFonts w:ascii="Arial" w:hAnsi="Arial" w:cs="Arial"/>
          <w:color w:val="000000"/>
          <w:lang w:val="es-MX" w:eastAsia="es-MX"/>
        </w:rPr>
        <w:t>El Notario Público Elabora el Proyecto de Escritura, mismo que se acompaña de la cédula y croquis catastral del inmueble;</w:t>
      </w:r>
    </w:p>
    <w:p w14:paraId="691D68C7" w14:textId="77777777" w:rsidR="00553A55" w:rsidRPr="00553A55" w:rsidRDefault="00553A55" w:rsidP="00553A55">
      <w:pPr>
        <w:shd w:val="clear" w:color="auto" w:fill="FFFFFF"/>
        <w:spacing w:line="360" w:lineRule="auto"/>
        <w:ind w:firstLine="284"/>
        <w:contextualSpacing/>
        <w:rPr>
          <w:rFonts w:ascii="Arial" w:hAnsi="Arial" w:cs="Arial"/>
          <w:color w:val="000000"/>
          <w:lang w:val="es-MX" w:eastAsia="es-MX"/>
        </w:rPr>
      </w:pPr>
      <w:r w:rsidRPr="00553A55">
        <w:rPr>
          <w:rFonts w:ascii="Arial" w:hAnsi="Arial" w:cs="Arial"/>
          <w:b/>
          <w:bCs/>
          <w:color w:val="000000"/>
          <w:lang w:val="es-MX" w:eastAsia="es-MX"/>
        </w:rPr>
        <w:t>b) Presentación: </w:t>
      </w:r>
      <w:r w:rsidRPr="00553A55">
        <w:rPr>
          <w:rFonts w:ascii="Arial" w:hAnsi="Arial" w:cs="Arial"/>
          <w:color w:val="000000"/>
          <w:lang w:val="es-MX" w:eastAsia="es-MX"/>
        </w:rPr>
        <w:t>Original y 1 copia;</w:t>
      </w:r>
    </w:p>
    <w:p w14:paraId="2849854B" w14:textId="77777777" w:rsidR="00553A55" w:rsidRPr="00553A55" w:rsidRDefault="00553A55" w:rsidP="00553A55">
      <w:pPr>
        <w:shd w:val="clear" w:color="auto" w:fill="FFFFFF"/>
        <w:spacing w:line="360" w:lineRule="auto"/>
        <w:ind w:firstLine="284"/>
        <w:contextualSpacing/>
        <w:rPr>
          <w:rFonts w:ascii="Arial" w:hAnsi="Arial" w:cs="Arial"/>
          <w:color w:val="000000"/>
          <w:lang w:val="es-MX" w:eastAsia="es-MX"/>
        </w:rPr>
      </w:pPr>
      <w:r w:rsidRPr="00553A55">
        <w:rPr>
          <w:rFonts w:ascii="Arial" w:hAnsi="Arial" w:cs="Arial"/>
          <w:b/>
          <w:bCs/>
          <w:color w:val="000000"/>
          <w:lang w:val="es-MX" w:eastAsia="es-MX"/>
        </w:rPr>
        <w:t>c) Información complementaria: </w:t>
      </w:r>
      <w:r w:rsidRPr="00553A55">
        <w:rPr>
          <w:rFonts w:ascii="Arial" w:hAnsi="Arial" w:cs="Arial"/>
          <w:color w:val="000000"/>
          <w:lang w:val="es-MX" w:eastAsia="es-MX"/>
        </w:rPr>
        <w:t xml:space="preserve">Original del Proyecto de Escritura y copia fotostática de la cédula y croquis catastral. El Departamento de Contratos elabora oficio a la Dirección de Desarrollo Urbano para que ésta determine si procede o no la aceptación del inmueble, y </w:t>
      </w:r>
    </w:p>
    <w:p w14:paraId="278B5069" w14:textId="77777777" w:rsidR="00553A55" w:rsidRPr="00553A55" w:rsidRDefault="00553A55" w:rsidP="00553A55">
      <w:pPr>
        <w:shd w:val="clear" w:color="auto" w:fill="FFFFFF"/>
        <w:spacing w:line="360" w:lineRule="auto"/>
        <w:ind w:firstLine="284"/>
        <w:contextualSpacing/>
        <w:rPr>
          <w:rFonts w:ascii="Arial" w:hAnsi="Arial" w:cs="Arial"/>
          <w:color w:val="000000"/>
          <w:lang w:val="es-MX" w:eastAsia="es-MX"/>
        </w:rPr>
      </w:pPr>
      <w:r w:rsidRPr="00553A55">
        <w:rPr>
          <w:rFonts w:ascii="Arial" w:hAnsi="Arial" w:cs="Arial"/>
          <w:b/>
          <w:bCs/>
          <w:color w:val="000000"/>
          <w:lang w:val="es-MX" w:eastAsia="es-MX"/>
        </w:rPr>
        <w:t>d) Tipo de requisito: </w:t>
      </w:r>
      <w:r w:rsidRPr="00553A55">
        <w:rPr>
          <w:rFonts w:ascii="Arial" w:hAnsi="Arial" w:cs="Arial"/>
          <w:color w:val="000000"/>
          <w:lang w:val="es-MX" w:eastAsia="es-MX"/>
        </w:rPr>
        <w:t>Original para cotejo.</w:t>
      </w:r>
    </w:p>
    <w:p w14:paraId="26988E88" w14:textId="77777777" w:rsidR="00553A55" w:rsidRPr="00553A55" w:rsidRDefault="00553A55" w:rsidP="00553A55">
      <w:pPr>
        <w:spacing w:line="360" w:lineRule="auto"/>
        <w:contextualSpacing/>
        <w:jc w:val="both"/>
        <w:rPr>
          <w:rFonts w:ascii="Arial" w:eastAsia="Calibri" w:hAnsi="Arial" w:cs="Arial"/>
          <w:b/>
          <w:color w:val="000000"/>
          <w:shd w:val="clear" w:color="auto" w:fill="FFFFFF"/>
          <w:lang w:val="es-MX"/>
        </w:rPr>
      </w:pPr>
      <w:r w:rsidRPr="00553A55">
        <w:rPr>
          <w:rFonts w:ascii="Arial" w:eastAsia="Calibri" w:hAnsi="Arial" w:cs="Arial"/>
          <w:b/>
          <w:color w:val="000000"/>
          <w:shd w:val="clear" w:color="auto" w:fill="FFFFFF"/>
          <w:lang w:val="es-MX"/>
        </w:rPr>
        <w:t xml:space="preserve">4. </w:t>
      </w:r>
      <w:r w:rsidRPr="00553A55">
        <w:rPr>
          <w:rFonts w:ascii="Arial" w:eastAsia="Calibri" w:hAnsi="Arial" w:cs="Arial"/>
          <w:color w:val="000000"/>
          <w:shd w:val="clear" w:color="auto" w:fill="FFFFFF"/>
          <w:lang w:val="es-MX"/>
        </w:rPr>
        <w:t>Autorización de la Dirección de Desarrollo Urbano para desarrollar el proyecto de fraccionamiento, previamente autorizado por el Gobierno del Estado.</w:t>
      </w:r>
    </w:p>
    <w:p w14:paraId="45A0CEB3" w14:textId="77777777" w:rsidR="00553A55" w:rsidRPr="00553A55" w:rsidRDefault="00553A55" w:rsidP="00553A55">
      <w:pPr>
        <w:spacing w:line="360" w:lineRule="auto"/>
        <w:jc w:val="both"/>
        <w:rPr>
          <w:rFonts w:ascii="Arial" w:eastAsia="Calibri" w:hAnsi="Arial" w:cs="Arial"/>
          <w:color w:val="000000"/>
          <w:shd w:val="clear" w:color="auto" w:fill="FFFFFF"/>
          <w:lang w:val="es-MX"/>
        </w:rPr>
      </w:pPr>
    </w:p>
    <w:p w14:paraId="452673F5" w14:textId="77777777" w:rsidR="00553A55" w:rsidRPr="00553A55" w:rsidRDefault="00553A55" w:rsidP="00553A55">
      <w:pPr>
        <w:spacing w:line="360" w:lineRule="auto"/>
        <w:jc w:val="both"/>
        <w:rPr>
          <w:rFonts w:ascii="Arial" w:eastAsia="Calibri" w:hAnsi="Arial" w:cs="Arial"/>
          <w:color w:val="000000"/>
          <w:shd w:val="clear" w:color="auto" w:fill="FFFFFF"/>
          <w:lang w:val="es-MX"/>
        </w:rPr>
      </w:pPr>
      <w:r w:rsidRPr="00553A55">
        <w:rPr>
          <w:rFonts w:ascii="Arial" w:eastAsia="Calibri" w:hAnsi="Arial" w:cs="Arial"/>
          <w:color w:val="000000"/>
          <w:shd w:val="clear" w:color="auto" w:fill="FFFFFF"/>
          <w:lang w:val="es-MX"/>
        </w:rPr>
        <w:lastRenderedPageBreak/>
        <w:t xml:space="preserve">Además de los documentos antes mencionados podrás solicitar el departamento correspondiente los documentos que considere necesarios. </w:t>
      </w:r>
    </w:p>
    <w:p w14:paraId="6F3B4A0E" w14:textId="77777777" w:rsidR="00553A55" w:rsidRPr="00553A55" w:rsidRDefault="00553A55" w:rsidP="00553A55">
      <w:pPr>
        <w:spacing w:line="360" w:lineRule="auto"/>
        <w:jc w:val="both"/>
        <w:rPr>
          <w:rFonts w:ascii="Arial" w:eastAsia="Calibri" w:hAnsi="Arial" w:cs="Arial"/>
          <w:bCs/>
          <w:color w:val="000000"/>
          <w:shd w:val="clear" w:color="auto" w:fill="FFFFFF"/>
          <w:lang w:val="es-MX"/>
        </w:rPr>
      </w:pPr>
    </w:p>
    <w:p w14:paraId="5094E2F0" w14:textId="77777777" w:rsidR="00553A55" w:rsidRPr="00553A55" w:rsidRDefault="00553A55" w:rsidP="00553A55">
      <w:pPr>
        <w:spacing w:line="360" w:lineRule="auto"/>
        <w:jc w:val="center"/>
        <w:rPr>
          <w:rFonts w:ascii="Arial" w:eastAsia="Calibri" w:hAnsi="Arial" w:cs="Arial"/>
          <w:b/>
          <w:color w:val="000000"/>
          <w:shd w:val="clear" w:color="auto" w:fill="FFFFFF"/>
          <w:lang w:val="es-MX"/>
        </w:rPr>
      </w:pPr>
      <w:r w:rsidRPr="00553A55">
        <w:rPr>
          <w:rFonts w:ascii="Arial" w:eastAsia="Calibri" w:hAnsi="Arial" w:cs="Arial"/>
          <w:b/>
          <w:color w:val="000000"/>
          <w:shd w:val="clear" w:color="auto" w:fill="FFFFFF"/>
          <w:lang w:val="es-MX"/>
        </w:rPr>
        <w:t>Requisitos para la Donación de Cárcamos de Bombeo (Agua Potable)</w:t>
      </w:r>
    </w:p>
    <w:p w14:paraId="7AD2E1BB" w14:textId="77777777" w:rsidR="00553A55" w:rsidRPr="00553A55" w:rsidRDefault="00553A55" w:rsidP="00553A55">
      <w:pPr>
        <w:spacing w:line="360" w:lineRule="auto"/>
        <w:jc w:val="center"/>
        <w:rPr>
          <w:rFonts w:ascii="Arial" w:eastAsia="Calibri" w:hAnsi="Arial" w:cs="Arial"/>
          <w:color w:val="000000"/>
          <w:shd w:val="clear" w:color="auto" w:fill="FFFFFF"/>
          <w:lang w:val="es-MX"/>
        </w:rPr>
      </w:pPr>
    </w:p>
    <w:p w14:paraId="072ACD41" w14:textId="77777777" w:rsidR="00553A55" w:rsidRPr="00553A55" w:rsidRDefault="00553A55" w:rsidP="00553A55">
      <w:pPr>
        <w:numPr>
          <w:ilvl w:val="0"/>
          <w:numId w:val="5"/>
        </w:numPr>
        <w:spacing w:after="200" w:line="360" w:lineRule="auto"/>
        <w:ind w:left="0"/>
        <w:contextualSpacing/>
        <w:jc w:val="both"/>
        <w:rPr>
          <w:rFonts w:ascii="Arial" w:eastAsia="Calibri" w:hAnsi="Arial" w:cs="Arial"/>
          <w:b/>
          <w:color w:val="000000"/>
          <w:shd w:val="clear" w:color="auto" w:fill="FFFFFF"/>
          <w:lang w:val="es-MX"/>
        </w:rPr>
      </w:pPr>
      <w:r w:rsidRPr="00553A55">
        <w:rPr>
          <w:rFonts w:ascii="Arial" w:eastAsia="Calibri" w:hAnsi="Arial" w:cs="Arial"/>
          <w:color w:val="000000"/>
          <w:shd w:val="clear" w:color="auto" w:fill="FFFFFF"/>
          <w:lang w:val="es-MX"/>
        </w:rPr>
        <w:t>Escrito libre de la solicitud de la donación;</w:t>
      </w:r>
    </w:p>
    <w:p w14:paraId="1010F615" w14:textId="77777777" w:rsidR="00553A55" w:rsidRPr="00553A55" w:rsidRDefault="00553A55" w:rsidP="00553A55">
      <w:pPr>
        <w:numPr>
          <w:ilvl w:val="0"/>
          <w:numId w:val="5"/>
        </w:numPr>
        <w:spacing w:after="200" w:line="360" w:lineRule="auto"/>
        <w:ind w:left="0"/>
        <w:contextualSpacing/>
        <w:jc w:val="both"/>
        <w:rPr>
          <w:rFonts w:ascii="Arial" w:eastAsia="Calibri" w:hAnsi="Arial" w:cs="Arial"/>
          <w:b/>
          <w:color w:val="000000"/>
          <w:shd w:val="clear" w:color="auto" w:fill="FFFFFF"/>
          <w:lang w:val="es-MX"/>
        </w:rPr>
      </w:pPr>
      <w:r w:rsidRPr="00553A55">
        <w:rPr>
          <w:rFonts w:ascii="Arial" w:eastAsia="Calibri" w:hAnsi="Arial" w:cs="Arial"/>
          <w:color w:val="000000"/>
          <w:shd w:val="clear" w:color="auto" w:fill="FFFFFF"/>
          <w:lang w:val="es-MX"/>
        </w:rPr>
        <w:t>Dictamen de factibilidad de servicios vigente y expedida por la JAPAY, para invariablemente contar con los parámetros de proyecto;</w:t>
      </w:r>
    </w:p>
    <w:p w14:paraId="75BD3155" w14:textId="77777777" w:rsidR="00553A55" w:rsidRPr="00553A55" w:rsidRDefault="00553A55" w:rsidP="00553A55">
      <w:pPr>
        <w:numPr>
          <w:ilvl w:val="0"/>
          <w:numId w:val="5"/>
        </w:numPr>
        <w:spacing w:after="200" w:line="360" w:lineRule="auto"/>
        <w:ind w:left="0"/>
        <w:contextualSpacing/>
        <w:jc w:val="both"/>
        <w:rPr>
          <w:rFonts w:ascii="Arial" w:eastAsia="Calibri" w:hAnsi="Arial" w:cs="Arial"/>
          <w:b/>
          <w:color w:val="000000"/>
          <w:lang w:val="es-MX"/>
        </w:rPr>
      </w:pPr>
      <w:r w:rsidRPr="00553A55">
        <w:rPr>
          <w:rFonts w:ascii="Arial" w:eastAsia="Calibri" w:hAnsi="Arial" w:cs="Arial"/>
          <w:color w:val="000000"/>
          <w:shd w:val="clear" w:color="auto" w:fill="FFFFFF"/>
          <w:lang w:val="es-MX"/>
        </w:rPr>
        <w:t>Aprobación del Cabildo de las áreas de donación a favor del Municipio de Hunucmá, Yucatán, y</w:t>
      </w:r>
    </w:p>
    <w:p w14:paraId="761A8270" w14:textId="77777777" w:rsidR="00553A55" w:rsidRPr="00553A55" w:rsidRDefault="00553A55" w:rsidP="00553A55">
      <w:pPr>
        <w:numPr>
          <w:ilvl w:val="0"/>
          <w:numId w:val="5"/>
        </w:numPr>
        <w:spacing w:after="200" w:line="360" w:lineRule="auto"/>
        <w:ind w:left="0"/>
        <w:contextualSpacing/>
        <w:jc w:val="both"/>
        <w:rPr>
          <w:rFonts w:ascii="Arial" w:eastAsia="Calibri" w:hAnsi="Arial" w:cs="Arial"/>
          <w:bCs/>
          <w:color w:val="000000"/>
          <w:lang w:val="es-MX"/>
        </w:rPr>
      </w:pPr>
      <w:r w:rsidRPr="00553A55">
        <w:rPr>
          <w:rFonts w:ascii="Arial" w:eastAsia="Calibri" w:hAnsi="Arial" w:cs="Arial"/>
          <w:bCs/>
          <w:color w:val="000000"/>
          <w:lang w:val="es-MX"/>
        </w:rPr>
        <w:t>Estudio técnico para que dicha donación.</w:t>
      </w:r>
    </w:p>
    <w:p w14:paraId="720AE690" w14:textId="77777777" w:rsidR="00553A55" w:rsidRPr="00553A55" w:rsidRDefault="00553A55" w:rsidP="00553A55">
      <w:pPr>
        <w:spacing w:line="360" w:lineRule="auto"/>
        <w:contextualSpacing/>
        <w:jc w:val="both"/>
        <w:rPr>
          <w:rFonts w:ascii="Arial" w:eastAsia="Calibri" w:hAnsi="Arial" w:cs="Arial"/>
          <w:b/>
          <w:color w:val="000000"/>
          <w:lang w:val="es-MX"/>
        </w:rPr>
      </w:pPr>
      <w:r w:rsidRPr="00553A55">
        <w:rPr>
          <w:rFonts w:ascii="Arial" w:hAnsi="Arial" w:cs="Arial"/>
          <w:b/>
          <w:bCs/>
          <w:color w:val="000000"/>
          <w:lang w:val="es-MX" w:eastAsia="es-MX"/>
        </w:rPr>
        <w:t xml:space="preserve">Proyecto de escritura el cual contendrá lo siguiente: </w:t>
      </w:r>
    </w:p>
    <w:p w14:paraId="273C2776" w14:textId="77777777" w:rsidR="00553A55" w:rsidRPr="00553A55" w:rsidRDefault="00553A55" w:rsidP="00553A55">
      <w:pPr>
        <w:spacing w:line="360" w:lineRule="auto"/>
        <w:contextualSpacing/>
        <w:jc w:val="both"/>
        <w:rPr>
          <w:rFonts w:ascii="Arial" w:eastAsia="Calibri" w:hAnsi="Arial" w:cs="Arial"/>
          <w:b/>
          <w:color w:val="000000"/>
          <w:lang w:val="es-MX"/>
        </w:rPr>
      </w:pPr>
      <w:r w:rsidRPr="00553A55">
        <w:rPr>
          <w:rFonts w:ascii="Arial" w:hAnsi="Arial" w:cs="Arial"/>
          <w:b/>
          <w:bCs/>
          <w:color w:val="000000"/>
          <w:lang w:val="es-MX" w:eastAsia="es-MX"/>
        </w:rPr>
        <w:t>a) Descripción: </w:t>
      </w:r>
      <w:r w:rsidRPr="00553A55">
        <w:rPr>
          <w:rFonts w:ascii="Arial" w:hAnsi="Arial" w:cs="Arial"/>
          <w:color w:val="000000"/>
          <w:lang w:val="es-MX" w:eastAsia="es-MX"/>
        </w:rPr>
        <w:t>El Notario Público Elabora el Proyecto de Escritura;</w:t>
      </w:r>
    </w:p>
    <w:p w14:paraId="49C2AB2A" w14:textId="77777777" w:rsidR="00553A55" w:rsidRPr="00553A55" w:rsidRDefault="00553A55" w:rsidP="00553A55">
      <w:pPr>
        <w:shd w:val="clear" w:color="auto" w:fill="FFFFFF"/>
        <w:spacing w:line="360" w:lineRule="auto"/>
        <w:contextualSpacing/>
        <w:rPr>
          <w:rFonts w:ascii="Arial" w:hAnsi="Arial" w:cs="Arial"/>
          <w:color w:val="000000"/>
          <w:lang w:val="es-MX" w:eastAsia="es-MX"/>
        </w:rPr>
      </w:pPr>
      <w:r w:rsidRPr="00553A55">
        <w:rPr>
          <w:rFonts w:ascii="Arial" w:hAnsi="Arial" w:cs="Arial"/>
          <w:b/>
          <w:bCs/>
          <w:color w:val="000000"/>
          <w:lang w:val="es-MX" w:eastAsia="es-MX"/>
        </w:rPr>
        <w:t>b) Presentación: </w:t>
      </w:r>
      <w:r w:rsidRPr="00553A55">
        <w:rPr>
          <w:rFonts w:ascii="Arial" w:hAnsi="Arial" w:cs="Arial"/>
          <w:color w:val="000000"/>
          <w:lang w:val="es-MX" w:eastAsia="es-MX"/>
        </w:rPr>
        <w:t>Original y 1 copia;</w:t>
      </w:r>
    </w:p>
    <w:p w14:paraId="4C2D472B" w14:textId="77777777" w:rsidR="00553A55" w:rsidRPr="00553A55" w:rsidRDefault="00553A55" w:rsidP="00553A55">
      <w:pPr>
        <w:shd w:val="clear" w:color="auto" w:fill="FFFFFF"/>
        <w:spacing w:line="360" w:lineRule="auto"/>
        <w:contextualSpacing/>
        <w:rPr>
          <w:rFonts w:ascii="Arial" w:hAnsi="Arial" w:cs="Arial"/>
          <w:color w:val="000000"/>
          <w:lang w:val="es-MX" w:eastAsia="es-MX"/>
        </w:rPr>
      </w:pPr>
      <w:r w:rsidRPr="00553A55">
        <w:rPr>
          <w:rFonts w:ascii="Arial" w:hAnsi="Arial" w:cs="Arial"/>
          <w:b/>
          <w:bCs/>
          <w:color w:val="000000"/>
          <w:lang w:val="es-MX" w:eastAsia="es-MX"/>
        </w:rPr>
        <w:t>c) Información complementaria: </w:t>
      </w:r>
      <w:r w:rsidRPr="00553A55">
        <w:rPr>
          <w:rFonts w:ascii="Arial" w:hAnsi="Arial" w:cs="Arial"/>
          <w:color w:val="000000"/>
          <w:lang w:val="es-MX" w:eastAsia="es-MX"/>
        </w:rPr>
        <w:t xml:space="preserve">Original del Proyecto de Escritura y del </w:t>
      </w:r>
      <w:r w:rsidRPr="00553A55">
        <w:rPr>
          <w:rFonts w:ascii="Arial" w:eastAsia="Calibri" w:hAnsi="Arial" w:cs="Arial"/>
          <w:color w:val="000000"/>
          <w:shd w:val="clear" w:color="auto" w:fill="FFFFFF"/>
          <w:lang w:val="es-MX"/>
        </w:rPr>
        <w:t>dictamen de factibilidad de servicios vigente y expedida por la JAPAY, y</w:t>
      </w:r>
    </w:p>
    <w:p w14:paraId="00101F75" w14:textId="77777777" w:rsidR="00553A55" w:rsidRPr="00553A55" w:rsidRDefault="00553A55" w:rsidP="00553A55">
      <w:pPr>
        <w:shd w:val="clear" w:color="auto" w:fill="FFFFFF"/>
        <w:spacing w:line="360" w:lineRule="auto"/>
        <w:contextualSpacing/>
        <w:rPr>
          <w:rFonts w:ascii="Arial" w:hAnsi="Arial" w:cs="Arial"/>
          <w:color w:val="000000"/>
          <w:lang w:val="es-MX" w:eastAsia="es-MX"/>
        </w:rPr>
      </w:pPr>
      <w:r w:rsidRPr="00553A55">
        <w:rPr>
          <w:rFonts w:ascii="Arial" w:hAnsi="Arial" w:cs="Arial"/>
          <w:b/>
          <w:bCs/>
          <w:color w:val="000000"/>
          <w:lang w:val="es-MX" w:eastAsia="es-MX"/>
        </w:rPr>
        <w:t>d) Tipo de requisito: </w:t>
      </w:r>
      <w:r w:rsidRPr="00553A55">
        <w:rPr>
          <w:rFonts w:ascii="Arial" w:hAnsi="Arial" w:cs="Arial"/>
          <w:color w:val="000000"/>
          <w:lang w:val="es-MX" w:eastAsia="es-MX"/>
        </w:rPr>
        <w:t>Original para cotejo.</w:t>
      </w:r>
    </w:p>
    <w:p w14:paraId="05936F06" w14:textId="77777777" w:rsidR="00553A55" w:rsidRPr="00553A55" w:rsidRDefault="00553A55" w:rsidP="00553A55">
      <w:pPr>
        <w:shd w:val="clear" w:color="auto" w:fill="FFFFFF"/>
        <w:spacing w:line="360" w:lineRule="auto"/>
        <w:rPr>
          <w:rFonts w:ascii="Arial" w:hAnsi="Arial" w:cs="Arial"/>
          <w:color w:val="000000"/>
          <w:lang w:val="es-MX" w:eastAsia="es-MX"/>
        </w:rPr>
      </w:pPr>
    </w:p>
    <w:p w14:paraId="0416F068" w14:textId="77777777" w:rsidR="00553A55" w:rsidRPr="00553A55" w:rsidRDefault="00553A55" w:rsidP="00553A55">
      <w:pPr>
        <w:shd w:val="clear" w:color="auto" w:fill="FFFFFF"/>
        <w:spacing w:line="360" w:lineRule="auto"/>
        <w:rPr>
          <w:rFonts w:ascii="Arial" w:hAnsi="Arial" w:cs="Arial"/>
          <w:color w:val="000000"/>
          <w:lang w:val="es-MX" w:eastAsia="es-MX"/>
        </w:rPr>
      </w:pPr>
      <w:r w:rsidRPr="00553A55">
        <w:rPr>
          <w:rFonts w:ascii="Arial" w:eastAsia="Calibri" w:hAnsi="Arial" w:cs="Arial"/>
          <w:color w:val="000000"/>
          <w:shd w:val="clear" w:color="auto" w:fill="FFFFFF"/>
          <w:lang w:val="es-MX"/>
        </w:rPr>
        <w:t>Además de los documentos antes mencionados podrás solicitar el departamento correspondiente los documentos que considere necesarios.</w:t>
      </w:r>
    </w:p>
    <w:bookmarkEnd w:id="2"/>
    <w:p w14:paraId="7F1181E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DB0F3B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82.- </w:t>
      </w:r>
      <w:r w:rsidRPr="00553A55">
        <w:rPr>
          <w:rFonts w:ascii="Arial" w:eastAsia="Calibri" w:hAnsi="Arial" w:cs="Arial"/>
          <w:lang w:val="es-MX"/>
        </w:rPr>
        <w:t>Las bases para el pago de los derechos mencionados en el artículo que antecede de conformidad con la ley de ingreso que se encuentre vigente.</w:t>
      </w:r>
    </w:p>
    <w:p w14:paraId="6883A7A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DC36D2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83.- </w:t>
      </w:r>
      <w:r w:rsidRPr="00553A55">
        <w:rPr>
          <w:rFonts w:ascii="Arial" w:eastAsia="Calibri" w:hAnsi="Arial" w:cs="Arial"/>
          <w:lang w:val="es-MX"/>
        </w:rPr>
        <w:t>Para los efectos de este capítulo, las construcciones se clasificarán en dos tipos: Construcción Habitacional y Comercial, y, Construcción Industrial. La Construcción Habitacional y Comercial son exclusivas para la vivienda de personas y para ayudar en las actividades cotidianas. La Construcción Industrial es el arte o técnica de fabricar edificios e infraestructuras.</w:t>
      </w:r>
    </w:p>
    <w:p w14:paraId="6D3FA04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CF48A3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Tarifa</w:t>
      </w:r>
    </w:p>
    <w:p w14:paraId="0C67A30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EE5C96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84.- </w:t>
      </w:r>
      <w:r w:rsidRPr="00553A55">
        <w:rPr>
          <w:rFonts w:ascii="Arial" w:eastAsia="Calibri" w:hAnsi="Arial" w:cs="Arial"/>
          <w:lang w:val="es-MX"/>
        </w:rPr>
        <w:t>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Hunucmá, Yucatán en vigor.</w:t>
      </w:r>
    </w:p>
    <w:p w14:paraId="506BBB3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FFB497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85.- </w:t>
      </w:r>
      <w:r w:rsidRPr="00553A55">
        <w:rPr>
          <w:rFonts w:ascii="Arial" w:eastAsia="Calibri" w:hAnsi="Arial" w:cs="Arial"/>
          <w:lang w:val="es-MX"/>
        </w:rPr>
        <w:t>Son responsables solidarios del pago de estos derechos, los ingenieros, contratistas, arquitectos y/o encargados de la realización de las obras.</w:t>
      </w:r>
    </w:p>
    <w:p w14:paraId="763E0B1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53C0EF4"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Tercera</w:t>
      </w:r>
    </w:p>
    <w:p w14:paraId="2C1676E4"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Servicio de Rastro</w:t>
      </w:r>
    </w:p>
    <w:p w14:paraId="74DBD0E8"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FEA4A7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86.- </w:t>
      </w:r>
      <w:r w:rsidRPr="00553A55">
        <w:rPr>
          <w:rFonts w:ascii="Arial" w:eastAsia="Calibri" w:hAnsi="Arial" w:cs="Arial"/>
          <w:lang w:val="es-MX"/>
        </w:rPr>
        <w:t>Es objeto del Derecho por Servicio de Rastro que preste el Ayuntamiento, el transporte, matanza, guarda en corrales, peso en básculas e inspección dentro y fuera del rastro, de animales y de carne fresca o en canal.</w:t>
      </w:r>
    </w:p>
    <w:p w14:paraId="4A36BC1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0DBE0C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1. </w:t>
      </w:r>
      <w:r w:rsidRPr="00553A55">
        <w:rPr>
          <w:rFonts w:ascii="Arial" w:eastAsia="Calibri" w:hAnsi="Arial" w:cs="Arial"/>
          <w:lang w:val="es-MX"/>
        </w:rPr>
        <w:t>Estar al corriente en el pago del impuesto predial;</w:t>
      </w:r>
    </w:p>
    <w:p w14:paraId="7E4A30B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2. </w:t>
      </w:r>
      <w:r w:rsidRPr="00553A55">
        <w:rPr>
          <w:rFonts w:ascii="Arial" w:eastAsia="Calibri" w:hAnsi="Arial" w:cs="Arial"/>
          <w:lang w:val="es-MX"/>
        </w:rPr>
        <w:t>Oficio de Revisión Técnica de la Constitución de Régimen en Condominio;</w:t>
      </w:r>
    </w:p>
    <w:p w14:paraId="7F3CC0B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3. </w:t>
      </w:r>
      <w:r w:rsidRPr="00553A55">
        <w:rPr>
          <w:rFonts w:ascii="Arial" w:eastAsia="Calibri" w:hAnsi="Arial" w:cs="Arial"/>
          <w:lang w:val="es-MX"/>
        </w:rPr>
        <w:t>Proporcionar datos del usuario en la solicitud de servicios generada por el sistema;</w:t>
      </w:r>
    </w:p>
    <w:p w14:paraId="58B90D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4. </w:t>
      </w:r>
      <w:r w:rsidRPr="00553A55">
        <w:rPr>
          <w:rFonts w:ascii="Arial" w:eastAsia="Calibri" w:hAnsi="Arial" w:cs="Arial"/>
          <w:lang w:val="es-MX"/>
        </w:rPr>
        <w:t>Planos, y</w:t>
      </w:r>
    </w:p>
    <w:p w14:paraId="4E55766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5. </w:t>
      </w:r>
      <w:r w:rsidRPr="00553A55">
        <w:rPr>
          <w:rFonts w:ascii="Arial" w:eastAsia="Calibri" w:hAnsi="Arial" w:cs="Arial"/>
          <w:lang w:val="es-MX"/>
        </w:rPr>
        <w:t>Formato F2, inscripción certificada vigente o boleta de inscripción; Formato suscrito por</w:t>
      </w:r>
      <w:r w:rsidRPr="00553A55">
        <w:rPr>
          <w:rFonts w:ascii="Arial" w:eastAsia="Calibri" w:hAnsi="Arial" w:cs="Arial"/>
          <w:b/>
          <w:bCs/>
          <w:lang w:val="es-MX"/>
        </w:rPr>
        <w:t xml:space="preserve"> </w:t>
      </w:r>
      <w:r w:rsidRPr="00553A55">
        <w:rPr>
          <w:rFonts w:ascii="Arial" w:eastAsia="Calibri" w:hAnsi="Arial" w:cs="Arial"/>
          <w:lang w:val="es-MX"/>
        </w:rPr>
        <w:t xml:space="preserve">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 </w:t>
      </w:r>
    </w:p>
    <w:p w14:paraId="3FAB4FB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A1CF4B8"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r w:rsidRPr="00553A55">
        <w:rPr>
          <w:rFonts w:ascii="Arial" w:eastAsia="Calibri" w:hAnsi="Arial" w:cs="Arial"/>
          <w:lang w:val="es-MX"/>
        </w:rPr>
        <w:t>Son sujetos del Derecho a que se refiere la presente Sección, las personas físicas o morales que utilicen los servicios de rastro que presta el Ayuntamiento.</w:t>
      </w:r>
    </w:p>
    <w:p w14:paraId="33E5124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5FA388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87.- </w:t>
      </w:r>
      <w:r w:rsidRPr="00553A55">
        <w:rPr>
          <w:rFonts w:ascii="Arial" w:eastAsia="Calibri" w:hAnsi="Arial" w:cs="Arial"/>
          <w:lang w:val="es-MX"/>
        </w:rPr>
        <w:t xml:space="preserve">Será base de este tributo el tipo de servicio, el número de animales trasportados, sacrificados, guardados, pesados o inspeccionados. </w:t>
      </w:r>
    </w:p>
    <w:p w14:paraId="1B5788F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82EDB6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Los derechos por los servicios de Rastro se causarán de conformidad con la tarifa establecida en la Ley de Ingresos del Municipio de Hunucmá, Yucatán Vigente. </w:t>
      </w:r>
    </w:p>
    <w:p w14:paraId="08A4C11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38F3BD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La inspección de carne en los rastros públicos no causará derecho alguno, pero las personas que introduzcan carne al Municipio de Hunucmá, deberán pasar por esa inspección. Dicha inspección se practicará en términos de lo dispuesto en la Ley de Salud del Estado de Yucatán. </w:t>
      </w:r>
    </w:p>
    <w:p w14:paraId="18F73CFD" w14:textId="77777777" w:rsidR="00553A55" w:rsidRPr="00553A55" w:rsidRDefault="00553A55" w:rsidP="00553A55">
      <w:pPr>
        <w:autoSpaceDE w:val="0"/>
        <w:autoSpaceDN w:val="0"/>
        <w:adjustRightInd w:val="0"/>
        <w:spacing w:line="360" w:lineRule="auto"/>
        <w:ind w:firstLine="708"/>
        <w:jc w:val="both"/>
        <w:rPr>
          <w:rFonts w:ascii="Arial" w:eastAsia="Calibri" w:hAnsi="Arial" w:cs="Arial"/>
          <w:lang w:val="es-MX"/>
        </w:rPr>
      </w:pPr>
    </w:p>
    <w:p w14:paraId="5FEB6AE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lastRenderedPageBreak/>
        <w:t xml:space="preserve">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 </w:t>
      </w:r>
    </w:p>
    <w:p w14:paraId="65704A0C" w14:textId="77777777" w:rsidR="00553A55" w:rsidRPr="00553A55" w:rsidRDefault="00553A55" w:rsidP="00553A55">
      <w:pPr>
        <w:autoSpaceDE w:val="0"/>
        <w:autoSpaceDN w:val="0"/>
        <w:adjustRightInd w:val="0"/>
        <w:spacing w:line="360" w:lineRule="auto"/>
        <w:ind w:firstLine="708"/>
        <w:jc w:val="both"/>
        <w:rPr>
          <w:rFonts w:ascii="Arial" w:eastAsia="Calibri" w:hAnsi="Arial" w:cs="Arial"/>
          <w:lang w:val="es-MX"/>
        </w:rPr>
      </w:pPr>
    </w:p>
    <w:p w14:paraId="1FD5A86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Ayuntamiento a través de sus órganos administrativos podrá autorizar la matanza de ganado fuera de los Rastros Públicos del Municipio, previo el cumplimiento del pago de Derecho establecido en la Ley de Ingresos del Municipio de Hunucmá y los requisitos que determinan la Ley de Salud del Estado de Yucatán y su Reglamento.</w:t>
      </w:r>
    </w:p>
    <w:p w14:paraId="62AAE696" w14:textId="77777777" w:rsidR="00553A55" w:rsidRPr="00553A55" w:rsidRDefault="00553A55" w:rsidP="00553A55">
      <w:pPr>
        <w:autoSpaceDE w:val="0"/>
        <w:autoSpaceDN w:val="0"/>
        <w:adjustRightInd w:val="0"/>
        <w:spacing w:line="360" w:lineRule="auto"/>
        <w:ind w:firstLine="708"/>
        <w:jc w:val="both"/>
        <w:rPr>
          <w:rFonts w:ascii="Arial" w:eastAsia="Calibri" w:hAnsi="Arial" w:cs="Arial"/>
          <w:lang w:val="es-MX"/>
        </w:rPr>
      </w:pPr>
    </w:p>
    <w:p w14:paraId="515D00E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incumplimiento de esta disposición será sancionado. En caso de reincidencia, dicha sanción se duplicará.</w:t>
      </w:r>
    </w:p>
    <w:p w14:paraId="2296F56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451C1C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Cuarta</w:t>
      </w:r>
    </w:p>
    <w:p w14:paraId="1F83696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Certificados y Constancias</w:t>
      </w:r>
    </w:p>
    <w:p w14:paraId="0F6E544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6A4F24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88.- </w:t>
      </w:r>
      <w:r w:rsidRPr="00553A55">
        <w:rPr>
          <w:rFonts w:ascii="Arial" w:eastAsia="Calibri" w:hAnsi="Arial" w:cs="Arial"/>
          <w:lang w:val="es-MX"/>
        </w:rPr>
        <w:t>Por la expedición de certificados o constancias de cualquiera de las dependencias del Ayuntamiento, que no se encuentren señalados en forma expresa, se causarán derechos que se calcularán multiplicando el factor que se especifica en cada uno de ellos, por la unidad de medida y actualización a la fecha de su expedición o de conformidad con la Ley de Ingresos del Municipio de Hunucmá, Yucatán.</w:t>
      </w:r>
    </w:p>
    <w:p w14:paraId="50F0562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F2507E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Quinta</w:t>
      </w:r>
    </w:p>
    <w:p w14:paraId="3AAC1F0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Derechos por los Servicios que Presta el Catastro Municipal</w:t>
      </w:r>
    </w:p>
    <w:p w14:paraId="7830072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58FE77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89.- </w:t>
      </w:r>
      <w:r w:rsidRPr="00553A55">
        <w:rPr>
          <w:rFonts w:ascii="Arial" w:eastAsia="Calibri" w:hAnsi="Arial" w:cs="Arial"/>
          <w:lang w:val="es-MX"/>
        </w:rPr>
        <w:t>El objeto de estos derechos está constituido por los servicios que presta el Catastro Municipal.</w:t>
      </w:r>
    </w:p>
    <w:p w14:paraId="5CAFC15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D98B27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90.- </w:t>
      </w:r>
      <w:r w:rsidRPr="00553A55">
        <w:rPr>
          <w:rFonts w:ascii="Arial" w:eastAsia="Calibri" w:hAnsi="Arial" w:cs="Arial"/>
          <w:lang w:val="es-MX"/>
        </w:rPr>
        <w:t>Son sujetos de estos derechos las personas físicas o morales que soliciten los servicios que presta el Catastro Municipal.</w:t>
      </w:r>
    </w:p>
    <w:p w14:paraId="46028DB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B03783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La cuota que se pagará por los servicios que presta el Catastro Municipal, causarán derechos de conformidad con lo establecido en la Ley de Ingresos vigente del Municipio de Hunucmá, Yucatán;</w:t>
      </w:r>
    </w:p>
    <w:p w14:paraId="7F272AB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No causarán derecho alguno las divisiones o fracciones de terrenos destinados al dominio público, y</w:t>
      </w:r>
    </w:p>
    <w:p w14:paraId="1C9FC2B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III. </w:t>
      </w:r>
      <w:r w:rsidRPr="00553A55">
        <w:rPr>
          <w:rFonts w:ascii="Arial" w:eastAsia="Calibri" w:hAnsi="Arial" w:cs="Arial"/>
          <w:lang w:val="es-MX"/>
        </w:rPr>
        <w:t>Quedan exentas del pago de los derechos que establece esta Sección o en la ley de ingreso, las Instituciones Públicas sin fines de lucro, como escuelas, universidades, etc.</w:t>
      </w:r>
    </w:p>
    <w:p w14:paraId="37FDE4E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2429C5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Sexta</w:t>
      </w:r>
    </w:p>
    <w:p w14:paraId="7074F1E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Derechos por el Uso y Aprovechamiento de los Bienes de Dominio Público del Patrimonio Municipal</w:t>
      </w:r>
    </w:p>
    <w:p w14:paraId="5170F02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4B9DBB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91.- </w:t>
      </w:r>
      <w:r w:rsidRPr="00553A55">
        <w:rPr>
          <w:rFonts w:ascii="Arial" w:eastAsia="Calibri" w:hAnsi="Arial" w:cs="Arial"/>
          <w:lang w:val="es-MX"/>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museos, bibliotecas y en general que usen o aprovechen los bienes del domino público municipal.</w:t>
      </w:r>
    </w:p>
    <w:p w14:paraId="192EC34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205BBC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92.- </w:t>
      </w:r>
      <w:r w:rsidRPr="00553A55">
        <w:rPr>
          <w:rFonts w:ascii="Arial" w:eastAsia="Calibri" w:hAnsi="Arial" w:cs="Arial"/>
          <w:lang w:val="es-MX"/>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2101A45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70AC91E"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Base</w:t>
      </w:r>
    </w:p>
    <w:p w14:paraId="53D2551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7185C3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93.- </w:t>
      </w:r>
      <w:r w:rsidRPr="00553A55">
        <w:rPr>
          <w:rFonts w:ascii="Arial" w:eastAsia="Calibri" w:hAnsi="Arial" w:cs="Arial"/>
          <w:lang w:val="es-MX"/>
        </w:rPr>
        <w:t>La base para determinar el monto de estos derechos, será el número de metros cuadrados concesionados o los que tenga en posesión por cualquier otro medio, la persona obligada al pago.</w:t>
      </w:r>
    </w:p>
    <w:p w14:paraId="0C961DD8"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603B0F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Séptima</w:t>
      </w:r>
    </w:p>
    <w:p w14:paraId="06A9219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Servicio de Limpieza</w:t>
      </w:r>
    </w:p>
    <w:p w14:paraId="21797AB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C666DF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94.- </w:t>
      </w:r>
      <w:r w:rsidRPr="00553A55">
        <w:rPr>
          <w:rFonts w:ascii="Arial" w:eastAsia="Calibri" w:hAnsi="Arial" w:cs="Arial"/>
          <w:lang w:val="es-MX"/>
        </w:rPr>
        <w:t>Son sujetos de este derecho, las personas físicas o morales que soliciten los servicios de limpia y que preste el Municipio o recolección de basura.</w:t>
      </w:r>
    </w:p>
    <w:p w14:paraId="109482C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C68F58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95.- </w:t>
      </w:r>
      <w:r w:rsidRPr="00553A55">
        <w:rPr>
          <w:rFonts w:ascii="Arial" w:eastAsia="Calibri" w:hAnsi="Arial" w:cs="Arial"/>
          <w:lang w:val="es-MX"/>
        </w:rPr>
        <w:t>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14:paraId="51A0774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40D28A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96.- </w:t>
      </w:r>
      <w:r w:rsidRPr="00553A55">
        <w:rPr>
          <w:rFonts w:ascii="Arial" w:eastAsia="Calibri" w:hAnsi="Arial" w:cs="Arial"/>
          <w:lang w:val="es-MX"/>
        </w:rPr>
        <w:t>Servirá de base el cobro de este derecho:</w:t>
      </w:r>
    </w:p>
    <w:p w14:paraId="57DD4F2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033809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I. </w:t>
      </w:r>
      <w:r w:rsidRPr="00553A55">
        <w:rPr>
          <w:rFonts w:ascii="Arial" w:eastAsia="Calibri" w:hAnsi="Arial" w:cs="Arial"/>
          <w:lang w:val="es-MX"/>
        </w:rPr>
        <w:t>Tratándose del servicio de recolección de basura, la periodicidad y forma en que se preste el servicio, y</w:t>
      </w:r>
    </w:p>
    <w:p w14:paraId="32D9C5E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La superficie total del predio que deba limpiarse, a solicitud del propietario.</w:t>
      </w:r>
    </w:p>
    <w:p w14:paraId="6789F19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206941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97.- </w:t>
      </w:r>
      <w:r w:rsidRPr="00553A55">
        <w:rPr>
          <w:rFonts w:ascii="Arial" w:eastAsia="Calibri" w:hAnsi="Arial" w:cs="Arial"/>
          <w:lang w:val="es-MX"/>
        </w:rPr>
        <w:t>El pago se realizará en la caja de la Tesorería Municipal o con la persona que el Ayuntamiento designe.</w:t>
      </w:r>
    </w:p>
    <w:p w14:paraId="416CD6F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78028B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98.- </w:t>
      </w:r>
      <w:r w:rsidRPr="00553A55">
        <w:rPr>
          <w:rFonts w:ascii="Arial" w:eastAsia="Calibri" w:hAnsi="Arial" w:cs="Arial"/>
          <w:lang w:val="es-MX"/>
        </w:rPr>
        <w:t>Los predios relacionados con la prestación del servicio de limpia en cualquiera de las modalidades señaladas en este capítulo, responden de manera objetiva por el pago de créditos fiscales que se generen con motivo de la prestación de dichos servicios.</w:t>
      </w:r>
    </w:p>
    <w:p w14:paraId="5AA78E0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901C684"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Octava</w:t>
      </w:r>
    </w:p>
    <w:p w14:paraId="0429937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Servicios de Agua Potable</w:t>
      </w:r>
    </w:p>
    <w:p w14:paraId="4A0B0A1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48E96E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99.- </w:t>
      </w:r>
      <w:r w:rsidRPr="00553A55">
        <w:rPr>
          <w:rFonts w:ascii="Arial" w:eastAsia="Calibri" w:hAnsi="Arial" w:cs="Arial"/>
          <w:lang w:val="es-MX"/>
        </w:rPr>
        <w:t xml:space="preserve">Es objeto de este derecho la prestación de los servicios de agua potable a los habitantes del Municipio de Hunucmá. </w:t>
      </w:r>
    </w:p>
    <w:p w14:paraId="0D3FFC8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AC6998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 </w:t>
      </w:r>
    </w:p>
    <w:p w14:paraId="5FFBF65A" w14:textId="77777777" w:rsidR="00553A55" w:rsidRPr="00553A55" w:rsidRDefault="00553A55" w:rsidP="00553A55">
      <w:pPr>
        <w:autoSpaceDE w:val="0"/>
        <w:autoSpaceDN w:val="0"/>
        <w:adjustRightInd w:val="0"/>
        <w:spacing w:line="360" w:lineRule="auto"/>
        <w:ind w:firstLine="708"/>
        <w:jc w:val="both"/>
        <w:rPr>
          <w:rFonts w:ascii="Arial" w:eastAsia="Calibri" w:hAnsi="Arial" w:cs="Arial"/>
          <w:lang w:val="es-MX"/>
        </w:rPr>
      </w:pPr>
    </w:p>
    <w:p w14:paraId="6026CAB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4B3B9729" w14:textId="77777777" w:rsidR="00553A55" w:rsidRPr="00553A55" w:rsidRDefault="00553A55" w:rsidP="00553A55">
      <w:pPr>
        <w:autoSpaceDE w:val="0"/>
        <w:autoSpaceDN w:val="0"/>
        <w:adjustRightInd w:val="0"/>
        <w:spacing w:line="360" w:lineRule="auto"/>
        <w:ind w:firstLine="708"/>
        <w:jc w:val="both"/>
        <w:rPr>
          <w:rFonts w:ascii="Arial" w:eastAsia="Calibri" w:hAnsi="Arial" w:cs="Arial"/>
          <w:lang w:val="es-MX"/>
        </w:rPr>
      </w:pPr>
    </w:p>
    <w:p w14:paraId="4822E11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Serán base de este derecho, el consumo en metros cúbicos de agua, en los casos que se haya instalado medidor y, a falta de éste, la cuota establecida en la Ley de Ingresos del Municipio de Hunucmá, Yucatán, y el costo del material utilizado en la instalación de tomas de agua potable. </w:t>
      </w:r>
    </w:p>
    <w:p w14:paraId="7D21864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A29D6C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La cuota de este derecho será la que al efecto determine la Ley de Ingresos del Municipio de Hunucmá, Yucatán.</w:t>
      </w:r>
    </w:p>
    <w:p w14:paraId="0221103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4978073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lastRenderedPageBreak/>
        <w:t>Este derecho se causará mensualmente y se pagará durante los primeros quince días del período siguiente.</w:t>
      </w:r>
    </w:p>
    <w:p w14:paraId="1CB99EC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80D01F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3ECA41AD"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463B7A77"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Novena</w:t>
      </w:r>
    </w:p>
    <w:p w14:paraId="72D612C0" w14:textId="77777777" w:rsidR="00553A55" w:rsidRPr="00553A55" w:rsidRDefault="00553A55" w:rsidP="00553A55">
      <w:pPr>
        <w:autoSpaceDE w:val="0"/>
        <w:autoSpaceDN w:val="0"/>
        <w:adjustRightInd w:val="0"/>
        <w:spacing w:line="360" w:lineRule="auto"/>
        <w:ind w:hanging="708"/>
        <w:jc w:val="center"/>
        <w:rPr>
          <w:rFonts w:ascii="Arial" w:eastAsia="Calibri" w:hAnsi="Arial" w:cs="Arial"/>
          <w:b/>
          <w:bCs/>
          <w:lang w:val="es-MX"/>
        </w:rPr>
      </w:pPr>
      <w:r w:rsidRPr="00553A55">
        <w:rPr>
          <w:rFonts w:ascii="Arial" w:eastAsia="Calibri" w:hAnsi="Arial" w:cs="Arial"/>
          <w:b/>
          <w:bCs/>
          <w:lang w:val="es-MX"/>
        </w:rPr>
        <w:t>Derechos por Servicio de Alumbrado Público</w:t>
      </w:r>
    </w:p>
    <w:p w14:paraId="199A42B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DFD4C5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100.- </w:t>
      </w:r>
      <w:r w:rsidRPr="00553A55">
        <w:rPr>
          <w:rFonts w:ascii="Arial" w:eastAsia="Calibri" w:hAnsi="Arial" w:cs="Arial"/>
          <w:lang w:val="es-MX"/>
        </w:rPr>
        <w:t>Son sujetos del Derecho por el Servicio de Alumbrado Público los propietarios o poseedores de predios urbanos o rústicos ubicados en los Municipios que se rigen por esta Ley.</w:t>
      </w:r>
    </w:p>
    <w:p w14:paraId="0967008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F8CCB4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101.- </w:t>
      </w:r>
      <w:r w:rsidRPr="00553A55">
        <w:rPr>
          <w:rFonts w:ascii="Arial" w:eastAsia="Calibri" w:hAnsi="Arial" w:cs="Arial"/>
          <w:lang w:val="es-MX"/>
        </w:rPr>
        <w:t>Es objeto de este derecho la prestación del servicio de alumbrado público para los habitantes de los Municipios. Se entiende por servicio de alumbrado público, el que los Municipios otorgan a la comunidad, en calles, plazas, jardines y otros lugares de uso común.</w:t>
      </w:r>
    </w:p>
    <w:p w14:paraId="675E78F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E54963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102.- </w:t>
      </w:r>
      <w:r w:rsidRPr="00553A55">
        <w:rPr>
          <w:rFonts w:ascii="Arial" w:eastAsia="Calibri" w:hAnsi="Arial" w:cs="Arial"/>
          <w:lang w:val="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7E12C18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097F95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Artículo 103.- </w:t>
      </w:r>
      <w:r w:rsidRPr="00553A55">
        <w:rPr>
          <w:rFonts w:ascii="Arial" w:eastAsia="Calibri" w:hAnsi="Arial" w:cs="Arial"/>
          <w:lang w:val="es-MX"/>
        </w:rPr>
        <w:t>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14:paraId="5145649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E308A2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104.- </w:t>
      </w:r>
      <w:r w:rsidRPr="00553A55">
        <w:rPr>
          <w:rFonts w:ascii="Arial" w:eastAsia="Calibri" w:hAnsi="Arial" w:cs="Arial"/>
          <w:lang w:val="es-MX"/>
        </w:rPr>
        <w:t>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14:paraId="57302AA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DE1C6B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105.- </w:t>
      </w:r>
      <w:r w:rsidRPr="00553A55">
        <w:rPr>
          <w:rFonts w:ascii="Arial" w:eastAsia="Calibri" w:hAnsi="Arial" w:cs="Arial"/>
          <w:lang w:val="es-MX"/>
        </w:rPr>
        <w:t>Los ingresos que se perciban por el derecho a que se refiere el presente Capítulo se destinarán al pago, mantenimiento y mejoramiento del servicio de alumbrado público que proporcione a los ayuntamientos.</w:t>
      </w:r>
    </w:p>
    <w:p w14:paraId="09928B6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5FB4F6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Décima</w:t>
      </w:r>
    </w:p>
    <w:p w14:paraId="2522F45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Servicios de la Unidad de Transparencia</w:t>
      </w:r>
    </w:p>
    <w:p w14:paraId="4904B57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4B1E2A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106.- </w:t>
      </w:r>
      <w:r w:rsidRPr="00553A55">
        <w:rPr>
          <w:rFonts w:ascii="Arial" w:eastAsia="Calibri" w:hAnsi="Arial" w:cs="Arial"/>
          <w:lang w:val="es-MX"/>
        </w:rPr>
        <w:t xml:space="preserve">El derecho por acceso a la Información Pública que proporciona la Unidad de Transparencia municipal será gratuita. </w:t>
      </w:r>
    </w:p>
    <w:p w14:paraId="4752084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1134D5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C8A4D5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0C58A1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107.- </w:t>
      </w:r>
      <w:r w:rsidRPr="00553A55">
        <w:rPr>
          <w:rFonts w:ascii="Arial" w:eastAsia="Calibri" w:hAnsi="Arial" w:cs="Arial"/>
          <w:lang w:val="es-MX"/>
        </w:rPr>
        <w:t>Son sujetos del pago por concepto de costos de recuperación, a que se refiere la presente Sección, las personas que soliciten el ejercicio del derecho señalado en el artículo anterior.</w:t>
      </w:r>
    </w:p>
    <w:p w14:paraId="654FC13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FB4369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108.- </w:t>
      </w:r>
      <w:r w:rsidRPr="00553A55">
        <w:rPr>
          <w:rFonts w:ascii="Arial" w:eastAsia="Calibri" w:hAnsi="Arial" w:cs="Arial"/>
          <w:lang w:val="es-MX"/>
        </w:rPr>
        <w:t>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Hunucmá, Yucatán y deberá cubrirse de manera previa a la entrega.</w:t>
      </w:r>
    </w:p>
    <w:p w14:paraId="7FA02A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E98FD2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Artículo 109.- </w:t>
      </w:r>
      <w:r w:rsidRPr="00553A55">
        <w:rPr>
          <w:rFonts w:ascii="Arial" w:eastAsia="Calibri" w:hAnsi="Arial" w:cs="Arial"/>
          <w:lang w:val="es-MX"/>
        </w:rPr>
        <w:t>Las unidades de transparencia podrán exceptuar el pago de reproducción y envío atendiendo a las circunstancias socioeconómicas del solicitante y cuando los solicitantes sea personas con discapacidad.</w:t>
      </w:r>
    </w:p>
    <w:p w14:paraId="0E33D8A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760AFCDE"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Décima primera</w:t>
      </w:r>
    </w:p>
    <w:p w14:paraId="1E93C31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Servicios de Cementerios</w:t>
      </w:r>
    </w:p>
    <w:p w14:paraId="25AF24B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B213E0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110</w:t>
      </w:r>
      <w:r w:rsidRPr="00553A55">
        <w:rPr>
          <w:rFonts w:ascii="Arial" w:eastAsia="Calibri" w:hAnsi="Arial" w:cs="Arial"/>
          <w:lang w:val="es-MX"/>
        </w:rPr>
        <w:t>.- Son objeto del Derecho por servicios de Cementerios, aquellos que sean solicitados y prestados por el Ayuntamiento.</w:t>
      </w:r>
    </w:p>
    <w:p w14:paraId="5555647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7FB0AF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111</w:t>
      </w:r>
      <w:r w:rsidRPr="00553A55">
        <w:rPr>
          <w:rFonts w:ascii="Arial" w:eastAsia="Calibri" w:hAnsi="Arial" w:cs="Arial"/>
          <w:lang w:val="es-MX"/>
        </w:rPr>
        <w:t>.- Son sujetos del derecho a que se refiere la presente sección, las personas físicas o morales que soliciten los servicios de panteones prestados por el Ayuntamiento.</w:t>
      </w:r>
    </w:p>
    <w:p w14:paraId="04E1276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CB1B40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112</w:t>
      </w:r>
      <w:r w:rsidRPr="00553A55">
        <w:rPr>
          <w:rFonts w:ascii="Arial" w:eastAsia="Calibri" w:hAnsi="Arial" w:cs="Arial"/>
          <w:lang w:val="es-MX"/>
        </w:rPr>
        <w:t>.- El pago por los servicios de panteones se realizará al momento de solicitarlos.</w:t>
      </w:r>
    </w:p>
    <w:p w14:paraId="58540B9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B4D8FA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113</w:t>
      </w:r>
      <w:r w:rsidRPr="00553A55">
        <w:rPr>
          <w:rFonts w:ascii="Arial" w:eastAsia="Calibri" w:hAnsi="Arial" w:cs="Arial"/>
          <w:lang w:val="es-MX"/>
        </w:rPr>
        <w:t>.- Por los servicios a que se refiere esta Sección, se causarán y pagarán derechos conforme a la tarifa establecida en la Ley de Ingresos del municipio de Hunucmá.</w:t>
      </w:r>
    </w:p>
    <w:p w14:paraId="598CAD7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04E6B59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Décima segunda</w:t>
      </w:r>
    </w:p>
    <w:p w14:paraId="21D1777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los Servicios que Presta la Dirección de Seguridad Pública y los Relativos a la Vialidad</w:t>
      </w:r>
    </w:p>
    <w:p w14:paraId="7BE1C62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F7AEA6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114.- </w:t>
      </w:r>
      <w:r w:rsidRPr="00553A55">
        <w:rPr>
          <w:rFonts w:ascii="Arial" w:eastAsia="Calibri" w:hAnsi="Arial" w:cs="Arial"/>
          <w:lang w:val="es-MX"/>
        </w:rPr>
        <w:t xml:space="preserve">Son objeto de estos derechos, los servicios que presta el Municipio a través de la Dirección de Seguridad Pública y Vialidad.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de acuerdo a la tarifa establecida en la Ley de Ingresos del Municipio de Hunucmá, Yucatán vigente. </w:t>
      </w:r>
    </w:p>
    <w:p w14:paraId="497E77F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3CCE15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El cobro de derechos por el servicio de corralón que preste el ayuntamiento será de conformidad con las tarifas diarias que contiene la Ley de Ingresos del Municipio de Hunucmá, Yucatán vigente. </w:t>
      </w:r>
    </w:p>
    <w:p w14:paraId="35EDEA06" w14:textId="77777777" w:rsidR="00553A55" w:rsidRPr="00553A55" w:rsidRDefault="00553A55" w:rsidP="00553A55">
      <w:pPr>
        <w:autoSpaceDE w:val="0"/>
        <w:autoSpaceDN w:val="0"/>
        <w:adjustRightInd w:val="0"/>
        <w:spacing w:line="360" w:lineRule="auto"/>
        <w:ind w:firstLine="708"/>
        <w:jc w:val="both"/>
        <w:rPr>
          <w:rFonts w:ascii="Arial" w:eastAsia="Calibri" w:hAnsi="Arial" w:cs="Arial"/>
          <w:lang w:val="es-MX"/>
        </w:rPr>
      </w:pPr>
    </w:p>
    <w:p w14:paraId="0337C81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También se consideran el cobro de derechos a las personas físicas o morales que requieran permisos por parte de la Dirección, para efectuar ciertos eventos, trabajos o maniobras que afecten la vialidad del lugar donde se realicen.</w:t>
      </w:r>
    </w:p>
    <w:p w14:paraId="0E03E10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5DC14F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Décima tercera</w:t>
      </w:r>
    </w:p>
    <w:p w14:paraId="271C652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Derechos Por los Servicios De Mercados</w:t>
      </w:r>
    </w:p>
    <w:p w14:paraId="076054F8"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5A8677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115.- </w:t>
      </w:r>
      <w:r w:rsidRPr="00553A55">
        <w:rPr>
          <w:rFonts w:ascii="Arial" w:eastAsia="Calibri" w:hAnsi="Arial" w:cs="Arial"/>
          <w:lang w:val="es-MX"/>
        </w:rPr>
        <w:t>Se cubrirán las cuotas fijadas en la Ley de Ingresos del Municipio de Hunucmá, Yucatán todo aquel posesionario de locales comerciales ubicados en mercados del municipio. Así como también por el uso de los baños públicos.</w:t>
      </w:r>
    </w:p>
    <w:p w14:paraId="7897057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4BA9FDE"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Décima cuarta</w:t>
      </w:r>
    </w:p>
    <w:p w14:paraId="1693F37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Derechos por la Prestación de Servicios en Materia de Protección Civil</w:t>
      </w:r>
    </w:p>
    <w:p w14:paraId="44F02B0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CB026C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116.- </w:t>
      </w:r>
      <w:r w:rsidRPr="00553A55">
        <w:rPr>
          <w:rFonts w:ascii="Arial" w:eastAsia="Calibri" w:hAnsi="Arial" w:cs="Arial"/>
          <w:lang w:val="es-MX"/>
        </w:rPr>
        <w:t>Son sujetos de los derechos establecidos en esta sección las personas físicas o morales que soliciten, cualquiera de los servicios a que se refiere esta sección.</w:t>
      </w:r>
    </w:p>
    <w:p w14:paraId="1CCC7BB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BB2994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117.- </w:t>
      </w:r>
      <w:r w:rsidRPr="00553A55">
        <w:rPr>
          <w:rFonts w:ascii="Arial" w:eastAsia="Calibri" w:hAnsi="Arial" w:cs="Arial"/>
          <w:lang w:val="es-MX"/>
        </w:rPr>
        <w:t>El objeto de los derechos establecidos en esta sección son los servicios prestados por el Departamento de Protección Civil por concepto de:</w:t>
      </w:r>
    </w:p>
    <w:p w14:paraId="3DB03B4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CDEC2AC"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 </w:t>
      </w:r>
      <w:r w:rsidRPr="00553A55">
        <w:rPr>
          <w:rFonts w:ascii="Arial" w:eastAsia="Calibri" w:hAnsi="Arial" w:cs="Arial"/>
          <w:lang w:val="es-MX"/>
        </w:rPr>
        <w:t>Constancia de Conformidad respecto de seguridad y ubicación para el consumo de Pirotecnia y Explosivos;</w:t>
      </w:r>
    </w:p>
    <w:p w14:paraId="78DF1CF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 </w:t>
      </w:r>
      <w:r w:rsidRPr="00553A55">
        <w:rPr>
          <w:rFonts w:ascii="Arial" w:eastAsia="Calibri" w:hAnsi="Arial" w:cs="Arial"/>
          <w:lang w:val="es-MX"/>
        </w:rPr>
        <w:t>Revisión y análisis de la solicitud de Dictamen de Riesgo;</w:t>
      </w:r>
    </w:p>
    <w:p w14:paraId="22664F4D"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III. </w:t>
      </w:r>
      <w:r w:rsidRPr="00553A55">
        <w:rPr>
          <w:rFonts w:ascii="Arial" w:eastAsia="Calibri" w:hAnsi="Arial" w:cs="Arial"/>
          <w:lang w:val="es-MX"/>
        </w:rPr>
        <w:t>Revisión y análisis de la solicitud de Análisis de Riesgo;</w:t>
      </w:r>
    </w:p>
    <w:p w14:paraId="49FCF94A"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IV. </w:t>
      </w:r>
      <w:r w:rsidRPr="00553A55">
        <w:rPr>
          <w:rFonts w:ascii="Arial" w:eastAsia="Calibri" w:hAnsi="Arial" w:cs="Arial"/>
          <w:lang w:val="es-MX"/>
        </w:rPr>
        <w:t>Revisión documental y análisis de la solicitud para obtener el Registro del Programa Interno de Protección Civil, y</w:t>
      </w:r>
    </w:p>
    <w:p w14:paraId="08F46E31"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r w:rsidRPr="00553A55">
        <w:rPr>
          <w:rFonts w:ascii="Arial" w:eastAsia="Calibri" w:hAnsi="Arial" w:cs="Arial"/>
          <w:b/>
          <w:lang w:val="es-MX"/>
        </w:rPr>
        <w:t xml:space="preserve">V. </w:t>
      </w:r>
      <w:r w:rsidRPr="00553A55">
        <w:rPr>
          <w:rFonts w:ascii="Arial" w:eastAsia="Calibri" w:hAnsi="Arial" w:cs="Arial"/>
          <w:lang w:val="es-MX"/>
        </w:rPr>
        <w:t>Revisión y análisis de la solicitud de Constancia de Cumplimiento de Requisitos en Materia de Protección Civil.</w:t>
      </w:r>
    </w:p>
    <w:p w14:paraId="24340D44" w14:textId="77777777" w:rsidR="00553A55" w:rsidRPr="00553A55" w:rsidRDefault="00553A55" w:rsidP="00553A55">
      <w:pPr>
        <w:autoSpaceDE w:val="0"/>
        <w:autoSpaceDN w:val="0"/>
        <w:adjustRightInd w:val="0"/>
        <w:spacing w:line="360" w:lineRule="auto"/>
        <w:contextualSpacing/>
        <w:jc w:val="both"/>
        <w:rPr>
          <w:rFonts w:ascii="Arial" w:eastAsia="Calibri" w:hAnsi="Arial" w:cs="Arial"/>
          <w:lang w:val="es-MX"/>
        </w:rPr>
      </w:pPr>
    </w:p>
    <w:p w14:paraId="7BEDBDC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118.- </w:t>
      </w:r>
      <w:r w:rsidRPr="00553A55">
        <w:rPr>
          <w:rFonts w:ascii="Arial" w:eastAsia="Calibri" w:hAnsi="Arial" w:cs="Arial"/>
          <w:lang w:val="es-MX"/>
        </w:rPr>
        <w:t>Los derechos por los servicios a que se refiere la presente sección se pagarán conforme lo establezca la Ley de Ingresos del Municipio de Hunucmá, Yucatán.</w:t>
      </w:r>
    </w:p>
    <w:p w14:paraId="1D67DA82" w14:textId="77777777" w:rsidR="00553A55" w:rsidRPr="00553A55" w:rsidRDefault="00553A55" w:rsidP="005B0D13">
      <w:pPr>
        <w:autoSpaceDE w:val="0"/>
        <w:autoSpaceDN w:val="0"/>
        <w:adjustRightInd w:val="0"/>
        <w:jc w:val="both"/>
        <w:rPr>
          <w:rFonts w:ascii="Arial" w:eastAsia="Calibri" w:hAnsi="Arial" w:cs="Arial"/>
          <w:b/>
          <w:bCs/>
          <w:lang w:val="es-MX"/>
        </w:rPr>
      </w:pPr>
    </w:p>
    <w:p w14:paraId="3436659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III</w:t>
      </w:r>
    </w:p>
    <w:p w14:paraId="25E382A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las Contribuciones de Mejoras</w:t>
      </w:r>
    </w:p>
    <w:p w14:paraId="2418411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51861C4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Sujetos</w:t>
      </w:r>
    </w:p>
    <w:p w14:paraId="20F85CA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306A89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119.- </w:t>
      </w:r>
      <w:r w:rsidRPr="00553A55">
        <w:rPr>
          <w:rFonts w:ascii="Arial" w:eastAsia="Calibri" w:hAnsi="Arial" w:cs="Arial"/>
          <w:lang w:val="es-MX"/>
        </w:rPr>
        <w:t xml:space="preserve">Son sujetos obligados al pago de las contribuciones de mejoras las personas físicas o morales que sean propietarios, fideicomisarios, fideicomitentes, fiduciarios o poseedores por cualquier </w:t>
      </w:r>
      <w:r w:rsidRPr="00553A55">
        <w:rPr>
          <w:rFonts w:ascii="Arial" w:eastAsia="Calibri" w:hAnsi="Arial" w:cs="Arial"/>
          <w:lang w:val="es-MX"/>
        </w:rPr>
        <w:lastRenderedPageBreak/>
        <w:t>título de los predios beneficiados con obras realizadas por el Ayuntamiento, sin importar si están destinados a casa-habitación, o se trate de establecimientos comerciales, industriales y/o de prestación de servicios.</w:t>
      </w:r>
    </w:p>
    <w:p w14:paraId="617D83D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2738905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Para los efectos de este artículo se consideran beneficiados con las obras que efectúe el Ayuntamiento los siguientes: Los predios exteriores, que colinden con la calle en la que se hubiese ejecutado las obras.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14:paraId="40058E3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02E2B4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Clasificación</w:t>
      </w:r>
    </w:p>
    <w:p w14:paraId="763E0A77"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5247DB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120.- </w:t>
      </w:r>
      <w:r w:rsidRPr="00553A55">
        <w:rPr>
          <w:rFonts w:ascii="Arial" w:eastAsia="Calibri" w:hAnsi="Arial" w:cs="Arial"/>
          <w:lang w:val="es-MX"/>
        </w:rPr>
        <w:t>Las contribuciones de mejoras se pagarán por la realización de obras públicas de urbanización consistentes en:</w:t>
      </w:r>
    </w:p>
    <w:p w14:paraId="23F8243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191E4B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Pavimentación;</w:t>
      </w:r>
    </w:p>
    <w:p w14:paraId="550003B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Construcción de banquetas;</w:t>
      </w:r>
    </w:p>
    <w:p w14:paraId="7C9A748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Instalación de alumbrado público;</w:t>
      </w:r>
    </w:p>
    <w:p w14:paraId="4C74E1B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Introducción de agua potable;</w:t>
      </w:r>
    </w:p>
    <w:p w14:paraId="3B04FE2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Construcción de drenaje y alcantarillado público;</w:t>
      </w:r>
    </w:p>
    <w:p w14:paraId="4998017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Electrificación en baja tensión, y</w:t>
      </w:r>
    </w:p>
    <w:p w14:paraId="677D8C3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 </w:t>
      </w:r>
      <w:r w:rsidRPr="00553A55">
        <w:rPr>
          <w:rFonts w:ascii="Arial" w:eastAsia="Calibri" w:hAnsi="Arial" w:cs="Arial"/>
          <w:lang w:val="es-MX"/>
        </w:rPr>
        <w:t>Cualquiera otra obra distinta de las anteriores que se lleven a cabo para el fortalecimiento del Municipio o el mejoramiento de la infraestructura social municipal.</w:t>
      </w:r>
    </w:p>
    <w:p w14:paraId="5FA242A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EE5006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Del Objeto</w:t>
      </w:r>
    </w:p>
    <w:p w14:paraId="624C43AE"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2CD5E2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121.- </w:t>
      </w:r>
      <w:r w:rsidRPr="00553A55">
        <w:rPr>
          <w:rFonts w:ascii="Arial" w:eastAsia="Calibri" w:hAnsi="Arial" w:cs="Arial"/>
          <w:lang w:val="es-MX"/>
        </w:rPr>
        <w:t>El objeto de la contribución de mejoras, es el beneficio diferencial que obtengan todos los bienes inmuebles que colinden con las obras y servicios de urbanización mencionados en el artículo anterior, llevados a cabo por el Ayuntamiento.</w:t>
      </w:r>
    </w:p>
    <w:p w14:paraId="3BA0CB6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2A7860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Cuota Unitaria</w:t>
      </w:r>
    </w:p>
    <w:p w14:paraId="0FCDBE6C"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30EDCB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122.- </w:t>
      </w:r>
      <w:r w:rsidRPr="00553A55">
        <w:rPr>
          <w:rFonts w:ascii="Arial" w:eastAsia="Calibri" w:hAnsi="Arial" w:cs="Arial"/>
          <w:lang w:val="es-MX"/>
        </w:rPr>
        <w:t>Para calcular el importe de las contribuciones de mejoras, el costo de la obra comprenderá los siguientes conceptos:</w:t>
      </w:r>
    </w:p>
    <w:p w14:paraId="4C36747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01F7344" w14:textId="77777777" w:rsidR="00553A55" w:rsidRPr="00553A55" w:rsidRDefault="00553A55" w:rsidP="00553A55">
      <w:pPr>
        <w:autoSpaceDE w:val="0"/>
        <w:autoSpaceDN w:val="0"/>
        <w:adjustRightInd w:val="0"/>
        <w:spacing w:line="360" w:lineRule="auto"/>
        <w:jc w:val="both"/>
        <w:rPr>
          <w:rFonts w:ascii="Arial" w:eastAsia="Calibri" w:hAnsi="Arial" w:cs="Arial"/>
          <w:b/>
          <w:lang w:val="es-MX"/>
        </w:rPr>
      </w:pPr>
      <w:r w:rsidRPr="00553A55">
        <w:rPr>
          <w:rFonts w:ascii="Arial" w:eastAsia="Calibri" w:hAnsi="Arial" w:cs="Arial"/>
          <w:b/>
          <w:lang w:val="es-MX"/>
        </w:rPr>
        <w:lastRenderedPageBreak/>
        <w:t>El costo del proyecto de la obra:</w:t>
      </w:r>
    </w:p>
    <w:p w14:paraId="3195D6B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La ejecución material de la obra;</w:t>
      </w:r>
    </w:p>
    <w:p w14:paraId="5C5AEA3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El costo de los materiales empleados en la obra;</w:t>
      </w:r>
    </w:p>
    <w:p w14:paraId="26D93C7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Los gastos de financiamiento para la ejecución de la obra;</w:t>
      </w:r>
    </w:p>
    <w:p w14:paraId="76F1894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Los gastos de administración del financiamiento respectivo, y</w:t>
      </w:r>
    </w:p>
    <w:p w14:paraId="2B2D5AA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Los gastos indirectos.</w:t>
      </w:r>
    </w:p>
    <w:p w14:paraId="05FB0F3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B84397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6A9DDE8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56DC4E4"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Base para la Determinación del Importe de las Obras de Pavimentación y Construcción de Banquetas</w:t>
      </w:r>
    </w:p>
    <w:p w14:paraId="1F274A5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415C2B4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123.- </w:t>
      </w:r>
      <w:r w:rsidRPr="00553A55">
        <w:rPr>
          <w:rFonts w:ascii="Arial" w:eastAsia="Calibri" w:hAnsi="Arial" w:cs="Arial"/>
          <w:lang w:val="es-MX"/>
        </w:rPr>
        <w:t>Para determinar el importe de la contribución en caso de obras y pavimentación o por construcción de banquetas en los términos de este capítulo, se estará a lo siguiente:</w:t>
      </w:r>
    </w:p>
    <w:p w14:paraId="07F4E85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981DEC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14:paraId="664CEA6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Cuando se trate de pavimentación, se estará a lo siguiente: si la pavimentación cubre la totalidad del ancho, se considerarán beneficiados los predios ubicados en ambos costados de la vía pública. Si la pavimentación cubre la mitad del ancho, se considerarán beneficiados los predios ubicados en el costado, de la vía pública que se pavimente. En ambos casos, el monto de la contribución se determinará, multiplicando la cuota unitaria que corresponda, por el número de metros lineales, de cada predio beneficiado, y</w:t>
      </w:r>
    </w:p>
    <w:p w14:paraId="2FC8AD3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 xml:space="preserve">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w:t>
      </w:r>
      <w:r w:rsidRPr="00553A55">
        <w:rPr>
          <w:rFonts w:ascii="Arial" w:eastAsia="Calibri" w:hAnsi="Arial" w:cs="Arial"/>
          <w:lang w:val="es-MX"/>
        </w:rPr>
        <w:lastRenderedPageBreak/>
        <w:t>de metros lineales que existan, desde el límite de la pavimentación, hasta el eje y el producto así obtenido, se multiplicará por el número de metros lineales de lindero con la obra, por cada predio beneficiado.</w:t>
      </w:r>
    </w:p>
    <w:p w14:paraId="40AAA56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6D98024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las Demás Obras</w:t>
      </w:r>
    </w:p>
    <w:p w14:paraId="7B9C884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F24087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124.- </w:t>
      </w:r>
      <w:r w:rsidRPr="00553A55">
        <w:rPr>
          <w:rFonts w:ascii="Arial" w:eastAsia="Calibri" w:hAnsi="Arial" w:cs="Arial"/>
          <w:lang w:val="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6464C75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 </w:t>
      </w:r>
    </w:p>
    <w:p w14:paraId="094145B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el caso de predios interiores beneficiados el importe de la cuota unitaria será determinado en cada caso por la Dirección de Obras Públicas o la Dependencia Municipal encargada de la realización delas obras de que se trate.</w:t>
      </w:r>
    </w:p>
    <w:p w14:paraId="3749900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C26BCD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Época y Lugar de Pago</w:t>
      </w:r>
    </w:p>
    <w:p w14:paraId="1527B10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EBFAF2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125.- </w:t>
      </w:r>
      <w:r w:rsidRPr="00553A55">
        <w:rPr>
          <w:rFonts w:ascii="Arial" w:eastAsia="Calibri" w:hAnsi="Arial" w:cs="Arial"/>
          <w:lang w:val="es-MX"/>
        </w:rPr>
        <w:t>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 Transcurrido el plazo mencionado en el párrafo anterior, sin que se hubiere efectuado el pago, el Ayuntamiento por conducto de la Tesorería Municipal procederá a su cobro por la vía coactiva.</w:t>
      </w:r>
    </w:p>
    <w:p w14:paraId="0AAFB2A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164923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Facultad para Disminuir la Contribución</w:t>
      </w:r>
    </w:p>
    <w:p w14:paraId="5A495B7C"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B477D4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126.- </w:t>
      </w:r>
      <w:r w:rsidRPr="00553A55">
        <w:rPr>
          <w:rFonts w:ascii="Arial" w:eastAsia="Calibri" w:hAnsi="Arial" w:cs="Arial"/>
          <w:lang w:val="es-MX"/>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UMA’s vigentes en el Estado de Yucatán.</w:t>
      </w:r>
    </w:p>
    <w:p w14:paraId="109E402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23B3B446"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40179B20"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64A6EF38"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2210ABFB"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lastRenderedPageBreak/>
        <w:t>CAPÍTULO IV</w:t>
      </w:r>
    </w:p>
    <w:p w14:paraId="74A2876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Productos</w:t>
      </w:r>
    </w:p>
    <w:p w14:paraId="1A31AF1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7F161CF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Clasificación</w:t>
      </w:r>
    </w:p>
    <w:p w14:paraId="0E62A20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78EF90A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127.- </w:t>
      </w:r>
      <w:r w:rsidRPr="00553A55">
        <w:rPr>
          <w:rFonts w:ascii="Arial" w:eastAsia="Calibri" w:hAnsi="Arial" w:cs="Arial"/>
          <w:lang w:val="es-MX"/>
        </w:rPr>
        <w:t>Los productos que percibirá el Ayuntamiento a través de la Tesorería Municipal, serán:</w:t>
      </w:r>
    </w:p>
    <w:p w14:paraId="198E59C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515DC0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Por arrendamiento, enajenación y explotación de bienes muebles e inmuebles, del dominio privado del patrimonio municipal;</w:t>
      </w:r>
    </w:p>
    <w:p w14:paraId="32A640F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2F16664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Por los remates de bienes mostrencos, y</w:t>
      </w:r>
    </w:p>
    <w:p w14:paraId="095F380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Por los daños que sufrieron las vías públicas o los bienes del patrimonio municipal afectados a la prestación de un servicio público, causados por cualquier persona.</w:t>
      </w:r>
    </w:p>
    <w:p w14:paraId="358F685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9A2480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Arrendamientos y las Ventas</w:t>
      </w:r>
    </w:p>
    <w:p w14:paraId="41B191B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42F6E7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128.- </w:t>
      </w:r>
      <w:r w:rsidRPr="00553A55">
        <w:rPr>
          <w:rFonts w:ascii="Arial" w:eastAsia="Calibri" w:hAnsi="Arial" w:cs="Arial"/>
          <w:lang w:val="es-MX"/>
        </w:rPr>
        <w:t xml:space="preserve">Los arrendamientos y las ventas de bienes muebles e inmuebles propiedad del Municipio se llevarán a cabo conforme a la Ley de Gobierno de los Municipios del Estado de Yucatán. </w:t>
      </w:r>
    </w:p>
    <w:p w14:paraId="3AADE7C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CA0C21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 </w:t>
      </w:r>
    </w:p>
    <w:p w14:paraId="7E4394B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01AC596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Queda prohibido el subarrendamiento de los inmuebles a que se refiere el párrafo anterior.</w:t>
      </w:r>
    </w:p>
    <w:p w14:paraId="4BEF0EF3"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D1D592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la Explotación</w:t>
      </w:r>
    </w:p>
    <w:p w14:paraId="59F1BB4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9A98C2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129.- </w:t>
      </w:r>
      <w:r w:rsidRPr="00553A55">
        <w:rPr>
          <w:rFonts w:ascii="Arial" w:eastAsia="Calibri" w:hAnsi="Arial" w:cs="Arial"/>
          <w:lang w:val="es-MX"/>
        </w:rPr>
        <w:t>Los bienes muebles e inmuebles propiedad del Municipio, solamente podrán ser explotados, mediante concesión o contrato legalmente otorgado o celebrado, en los términos de la Ley de Gobierno de los Municipios del Estado de Yucatán.</w:t>
      </w:r>
    </w:p>
    <w:p w14:paraId="687257F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5A631A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lastRenderedPageBreak/>
        <w:t>De los Daños</w:t>
      </w:r>
    </w:p>
    <w:p w14:paraId="53CB4B4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913AF7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130.- </w:t>
      </w:r>
      <w:r w:rsidRPr="00553A55">
        <w:rPr>
          <w:rFonts w:ascii="Arial" w:eastAsia="Calibri" w:hAnsi="Arial" w:cs="Arial"/>
          <w:lang w:val="es-MX"/>
        </w:rPr>
        <w:t>Los productos que percibirá el Municipio por los daños que sufrieren las vías públicas o los bienes de su propiedad, serán cuantificados de acuerdo al peritaje que se elabore al efecto, sobre los daños sufridos. El perito será designado por el Presidente Municipal.</w:t>
      </w:r>
    </w:p>
    <w:p w14:paraId="433E7B4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4F0C7550"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V</w:t>
      </w:r>
    </w:p>
    <w:p w14:paraId="2BFD5714"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Aprovechamientos</w:t>
      </w:r>
    </w:p>
    <w:p w14:paraId="31026C0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44F68F7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Primera</w:t>
      </w:r>
    </w:p>
    <w:p w14:paraId="41E9F8E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Aprovechamientos por las Multas Administrativas</w:t>
      </w:r>
    </w:p>
    <w:p w14:paraId="47FDC23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D1119E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131.- </w:t>
      </w:r>
      <w:r w:rsidRPr="00553A55">
        <w:rPr>
          <w:rFonts w:ascii="Arial" w:eastAsia="Calibri" w:hAnsi="Arial" w:cs="Arial"/>
          <w:lang w:val="es-MX"/>
        </w:rPr>
        <w:t>De conformidad con lo establecido en la Ley de Coordinación Fiscal y en los convenios de Colaboración Administrativa en Materia Fiscal Federal, el Municipio de Hunucmá,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14:paraId="441B0C1B"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5CAC3E5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132.- </w:t>
      </w:r>
      <w:r w:rsidRPr="00553A55">
        <w:rPr>
          <w:rFonts w:ascii="Arial" w:eastAsia="Calibri" w:hAnsi="Arial" w:cs="Arial"/>
          <w:lang w:val="es-MX"/>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56E0D4A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A4B730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Sección Segunda</w:t>
      </w:r>
    </w:p>
    <w:p w14:paraId="0B886AE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Aprovechamientos Derivados de Recursos Transferidos al Municipio</w:t>
      </w:r>
    </w:p>
    <w:p w14:paraId="0B7AACFD"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C4B23C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133.- </w:t>
      </w:r>
      <w:r w:rsidRPr="00553A55">
        <w:rPr>
          <w:rFonts w:ascii="Arial" w:eastAsia="Calibri" w:hAnsi="Arial" w:cs="Arial"/>
          <w:lang w:val="es-MX"/>
        </w:rPr>
        <w:t>Corresponderán a este capítulo de aprovechamientos, los que perciba el Municipio por cuenta de:</w:t>
      </w:r>
    </w:p>
    <w:p w14:paraId="69A94AA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EA2117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Cesiones;</w:t>
      </w:r>
    </w:p>
    <w:p w14:paraId="4A857E9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Herencias;</w:t>
      </w:r>
    </w:p>
    <w:p w14:paraId="7E5637B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Legados;</w:t>
      </w:r>
    </w:p>
    <w:p w14:paraId="4CA3CD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Donaciones;</w:t>
      </w:r>
    </w:p>
    <w:p w14:paraId="431D1FE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Adjudicaciones Judiciales;</w:t>
      </w:r>
    </w:p>
    <w:p w14:paraId="4F5DB67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Adjudicaciones Administrativas;</w:t>
      </w:r>
    </w:p>
    <w:p w14:paraId="592E9D8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VII. </w:t>
      </w:r>
      <w:r w:rsidRPr="00553A55">
        <w:rPr>
          <w:rFonts w:ascii="Arial" w:eastAsia="Calibri" w:hAnsi="Arial" w:cs="Arial"/>
          <w:lang w:val="es-MX"/>
        </w:rPr>
        <w:t>Subsidios de otro nivel de gobierno;</w:t>
      </w:r>
    </w:p>
    <w:p w14:paraId="6C5DD56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VIII. </w:t>
      </w:r>
      <w:r w:rsidRPr="00553A55">
        <w:rPr>
          <w:rFonts w:ascii="Arial" w:eastAsia="Calibri" w:hAnsi="Arial" w:cs="Arial"/>
          <w:lang w:val="es-MX"/>
        </w:rPr>
        <w:t>Subsidios de otros organismos públicos y privados, y</w:t>
      </w:r>
    </w:p>
    <w:p w14:paraId="66D195D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IX. </w:t>
      </w:r>
      <w:r w:rsidRPr="00553A55">
        <w:rPr>
          <w:rFonts w:ascii="Arial" w:eastAsia="Calibri" w:hAnsi="Arial" w:cs="Arial"/>
          <w:lang w:val="es-MX"/>
        </w:rPr>
        <w:t>Multas impuestas por Autoridades administrativas federales no fiscales.</w:t>
      </w:r>
    </w:p>
    <w:p w14:paraId="116DE12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F624CCF"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VI</w:t>
      </w:r>
    </w:p>
    <w:p w14:paraId="39298647"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Participaciones y Aportaciones</w:t>
      </w:r>
    </w:p>
    <w:p w14:paraId="09112CE9"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2F4955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134.- </w:t>
      </w:r>
      <w:r w:rsidRPr="00553A55">
        <w:rPr>
          <w:rFonts w:ascii="Arial" w:eastAsia="Calibri" w:hAnsi="Arial" w:cs="Arial"/>
          <w:lang w:val="es-MX"/>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w:t>
      </w:r>
    </w:p>
    <w:p w14:paraId="2C11713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3430F95D"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VII</w:t>
      </w:r>
    </w:p>
    <w:p w14:paraId="55DB28F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Ingresos Extraordinarios</w:t>
      </w:r>
    </w:p>
    <w:p w14:paraId="53BF972C" w14:textId="77777777" w:rsidR="00553A55" w:rsidRPr="00553A55" w:rsidRDefault="00553A55" w:rsidP="00553A55">
      <w:pPr>
        <w:autoSpaceDE w:val="0"/>
        <w:autoSpaceDN w:val="0"/>
        <w:adjustRightInd w:val="0"/>
        <w:spacing w:line="360" w:lineRule="auto"/>
        <w:jc w:val="center"/>
        <w:rPr>
          <w:rFonts w:ascii="Arial" w:eastAsia="Calibri" w:hAnsi="Arial" w:cs="Arial"/>
          <w:b/>
          <w:bCs/>
          <w:i/>
          <w:iCs/>
          <w:lang w:val="es-MX"/>
        </w:rPr>
      </w:pPr>
    </w:p>
    <w:p w14:paraId="78174E18" w14:textId="77777777" w:rsidR="00553A55" w:rsidRPr="00553A55" w:rsidRDefault="00553A55" w:rsidP="00553A55">
      <w:pPr>
        <w:autoSpaceDE w:val="0"/>
        <w:autoSpaceDN w:val="0"/>
        <w:adjustRightInd w:val="0"/>
        <w:spacing w:line="360" w:lineRule="auto"/>
        <w:jc w:val="center"/>
        <w:rPr>
          <w:rFonts w:ascii="Arial" w:eastAsia="Calibri" w:hAnsi="Arial" w:cs="Arial"/>
          <w:b/>
          <w:bCs/>
          <w:iCs/>
          <w:lang w:val="es-MX"/>
        </w:rPr>
      </w:pPr>
      <w:r w:rsidRPr="00553A55">
        <w:rPr>
          <w:rFonts w:ascii="Arial" w:eastAsia="Calibri" w:hAnsi="Arial" w:cs="Arial"/>
          <w:b/>
          <w:bCs/>
          <w:iCs/>
          <w:lang w:val="es-MX"/>
        </w:rPr>
        <w:t>De los Empréstitos, Subsidios y los Provenientes del Estado o la Federación</w:t>
      </w:r>
    </w:p>
    <w:p w14:paraId="311BEA2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6F1ADC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135.- </w:t>
      </w:r>
      <w:r w:rsidRPr="00553A55">
        <w:rPr>
          <w:rFonts w:ascii="Arial" w:eastAsia="Calibri" w:hAnsi="Arial" w:cs="Arial"/>
          <w:lang w:val="es-MX"/>
        </w:rPr>
        <w:t xml:space="preserve">Son ingresos extraordinarios los empréstitos, subsidios y los decretados excepcionalmente. </w:t>
      </w:r>
    </w:p>
    <w:p w14:paraId="50A3C70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3617A32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Municipio podrá percibir ingresos extraordinarios cuando así lo decrete de manera excepcional el H. Congreso del Estado, o cuando los reciba de la Federación o del Estado, por conceptos diferentes a participaciones o aportaciones.</w:t>
      </w:r>
    </w:p>
    <w:p w14:paraId="43D9C9F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152592D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Financiamientos</w:t>
      </w:r>
    </w:p>
    <w:p w14:paraId="5D7F565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91F1FD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136.- </w:t>
      </w:r>
      <w:r w:rsidRPr="00553A55">
        <w:rPr>
          <w:rFonts w:ascii="Arial" w:eastAsia="Calibri" w:hAnsi="Arial" w:cs="Arial"/>
          <w:lang w:val="es-MX"/>
        </w:rPr>
        <w:t>El Ayuntamiento de Hunucmá,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H. Congreso del Estado de Yucatán.</w:t>
      </w:r>
    </w:p>
    <w:p w14:paraId="3A1560B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33413F4"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2FEE64F6"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612BE548"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lastRenderedPageBreak/>
        <w:t>TÍTULO TERCERO</w:t>
      </w:r>
    </w:p>
    <w:p w14:paraId="6C07D9B7"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Infracciones y Multas</w:t>
      </w:r>
    </w:p>
    <w:p w14:paraId="0438242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78D01B4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I</w:t>
      </w:r>
    </w:p>
    <w:p w14:paraId="62B3393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Generalidades</w:t>
      </w:r>
    </w:p>
    <w:p w14:paraId="10A73606"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9D0306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137.- </w:t>
      </w:r>
      <w:r w:rsidRPr="00553A55">
        <w:rPr>
          <w:rFonts w:ascii="Arial" w:eastAsia="Calibri" w:hAnsi="Arial" w:cs="Arial"/>
          <w:lang w:val="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42DD263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3911287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138.- </w:t>
      </w:r>
      <w:r w:rsidRPr="00553A55">
        <w:rPr>
          <w:rFonts w:ascii="Arial" w:eastAsia="Calibri" w:hAnsi="Arial" w:cs="Arial"/>
          <w:lang w:val="es-MX"/>
        </w:rPr>
        <w:t>Las multas por infracciones a las disposiciones municipales, sean éstas de carácter administrativo o fiscal, serán cobradas mediante el procedimiento administrativo de ejecución.</w:t>
      </w:r>
    </w:p>
    <w:p w14:paraId="624A0E15"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E0B25F4"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II</w:t>
      </w:r>
    </w:p>
    <w:p w14:paraId="1CBBD1D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Infracciones y Sanciones</w:t>
      </w:r>
    </w:p>
    <w:p w14:paraId="6C6D0009"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CA7538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139.- </w:t>
      </w:r>
      <w:r w:rsidRPr="00553A55">
        <w:rPr>
          <w:rFonts w:ascii="Arial" w:eastAsia="Calibri" w:hAnsi="Arial" w:cs="Arial"/>
          <w:lang w:val="es-MX"/>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2A3D32D9"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8D4748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140.- </w:t>
      </w:r>
      <w:r w:rsidRPr="00553A55">
        <w:rPr>
          <w:rFonts w:ascii="Arial" w:eastAsia="Calibri" w:hAnsi="Arial" w:cs="Arial"/>
          <w:lang w:val="es-MX"/>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5986C2F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21F19356"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141.- </w:t>
      </w:r>
      <w:r w:rsidRPr="00553A55">
        <w:rPr>
          <w:rFonts w:ascii="Arial" w:eastAsia="Calibri" w:hAnsi="Arial" w:cs="Arial"/>
          <w:lang w:val="es-MX"/>
        </w:rPr>
        <w:t>Son infracciones:</w:t>
      </w:r>
    </w:p>
    <w:p w14:paraId="4BAE006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D52C8D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La falta de presentación o la presentación extemporánea de los avisos o manifestaciones que exige esta ley;</w:t>
      </w:r>
    </w:p>
    <w:p w14:paraId="1BF07E69"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742E379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lastRenderedPageBreak/>
        <w:t xml:space="preserve">III. </w:t>
      </w:r>
      <w:r w:rsidRPr="00553A55">
        <w:rPr>
          <w:rFonts w:ascii="Arial" w:eastAsia="Calibri" w:hAnsi="Arial" w:cs="Arial"/>
          <w:lang w:val="es-MX"/>
        </w:rPr>
        <w:t>La falta de empadronamiento de los obligados a ello, en la Tesorería Municipal;</w:t>
      </w:r>
    </w:p>
    <w:p w14:paraId="2C16A31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La falta de revalidación de la licencia municipal de funcionamiento;</w:t>
      </w:r>
    </w:p>
    <w:p w14:paraId="7B7ACAD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 </w:t>
      </w:r>
      <w:r w:rsidRPr="00553A55">
        <w:rPr>
          <w:rFonts w:ascii="Arial" w:eastAsia="Calibri" w:hAnsi="Arial" w:cs="Arial"/>
          <w:lang w:val="es-MX"/>
        </w:rPr>
        <w:t>La falta de presentación de los documentos que, conforme a esta ley, se requieran para acreditar el pago de las contribuciones municipales;</w:t>
      </w:r>
    </w:p>
    <w:p w14:paraId="30C5A4F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 </w:t>
      </w:r>
      <w:r w:rsidRPr="00553A55">
        <w:rPr>
          <w:rFonts w:ascii="Arial" w:eastAsia="Calibri" w:hAnsi="Arial" w:cs="Arial"/>
          <w:lang w:val="es-MX"/>
        </w:rPr>
        <w:t>La ocupación de la vía pública, con el objeto de realizar alguna actividad comercial, y</w:t>
      </w:r>
    </w:p>
    <w:p w14:paraId="2956EE4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VII. </w:t>
      </w:r>
      <w:r w:rsidRPr="00553A55">
        <w:rPr>
          <w:rFonts w:ascii="Arial" w:eastAsia="Calibri" w:hAnsi="Arial" w:cs="Arial"/>
          <w:lang w:val="es-MX"/>
        </w:rPr>
        <w:t>La matanza de ganado fuera de los rastros públicos municipales, sin obtener la licencia o la autorización respectiva.</w:t>
      </w:r>
    </w:p>
    <w:p w14:paraId="06FEE884"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C2ACC9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Artículo 142</w:t>
      </w:r>
      <w:r w:rsidRPr="00553A55">
        <w:rPr>
          <w:rFonts w:ascii="Arial" w:eastAsia="Calibri" w:hAnsi="Arial" w:cs="Arial"/>
          <w:lang w:val="es-MX"/>
        </w:rPr>
        <w:t>.- Serán sancionadas con multa de 1 hasta 10 UMA’s vigentes en el Estado de Yucatán, las personas que cometan las infracciones contenidas en el artículo 131 de esta ley. Cuando se aplique una sanción la autoridad deberá fundar y motivar su resolución. Se considerará agravante el hecho de que el infractor sea reincidente.</w:t>
      </w:r>
    </w:p>
    <w:p w14:paraId="10F6D4DC"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6850AAE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TÍTULO CUARTO</w:t>
      </w:r>
    </w:p>
    <w:p w14:paraId="79B9357C"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Procedimiento Administrativo de Ejecución</w:t>
      </w:r>
    </w:p>
    <w:p w14:paraId="5145C085"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7BF78C7F"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I</w:t>
      </w:r>
    </w:p>
    <w:p w14:paraId="62D5F0B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Generalidades</w:t>
      </w:r>
    </w:p>
    <w:p w14:paraId="447FF9F0"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CA45023"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143.- </w:t>
      </w:r>
      <w:r w:rsidRPr="00553A55">
        <w:rPr>
          <w:rFonts w:ascii="Arial" w:eastAsia="Calibri" w:hAnsi="Arial" w:cs="Arial"/>
          <w:lang w:val="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 En todo caso, la autoridad fiscal municipal deberá fundamentar y motivar su acción.</w:t>
      </w:r>
    </w:p>
    <w:p w14:paraId="46A35AC1"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03DD8AB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144.- </w:t>
      </w:r>
      <w:r w:rsidRPr="00553A55">
        <w:rPr>
          <w:rFonts w:ascii="Arial" w:eastAsia="Calibri" w:hAnsi="Arial" w:cs="Arial"/>
          <w:lang w:val="es-MX"/>
        </w:rPr>
        <w:t>Cuando la autoridad fiscal utilice el procedimiento administrativo de ejecución, para el cobro de una contribución o de un crédito fiscal, el contribuyente estará obligado a pagar el 15% de la contribución o del crédito fiscal correspondiente, por concepto de gastos de ejecución, y, además, pagará los gastos erogados, por cada una de las diligencias que a continuación, se relacionan:</w:t>
      </w:r>
    </w:p>
    <w:p w14:paraId="651E3CF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5416481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Requerimiento;</w:t>
      </w:r>
    </w:p>
    <w:p w14:paraId="75D9860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Embargo, y</w:t>
      </w:r>
    </w:p>
    <w:p w14:paraId="34F8BB2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Honorarios o enajenación fuera de remate.</w:t>
      </w:r>
    </w:p>
    <w:p w14:paraId="45308895"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71F4858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lastRenderedPageBreak/>
        <w:t>Cuando el 15 % del importe del crédito omitido, fuere inferior al importe de cincuenta UMA vigente en el Estado de Yucatán, se cobrará el monto 15 % del crédito omitido.</w:t>
      </w:r>
    </w:p>
    <w:p w14:paraId="4F07B23F"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754DFF4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II</w:t>
      </w:r>
    </w:p>
    <w:p w14:paraId="4C47A302"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Gastos Extraordinarios de Ejecución</w:t>
      </w:r>
    </w:p>
    <w:p w14:paraId="73455792"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463D5FB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145.- </w:t>
      </w:r>
      <w:r w:rsidRPr="00553A55">
        <w:rPr>
          <w:rFonts w:ascii="Arial" w:eastAsia="Calibri" w:hAnsi="Arial" w:cs="Arial"/>
          <w:lang w:val="es-MX"/>
        </w:rPr>
        <w:t>Además de los gastos mencionados en el artículo inmediato anterior, el contribuyente, queda obligado a pagar los gastos extraordinarios que se hubiesen erogado, por los siguientes conceptos:</w:t>
      </w:r>
    </w:p>
    <w:p w14:paraId="3B8CF99E" w14:textId="77777777" w:rsidR="00553A55" w:rsidRPr="00553A55" w:rsidRDefault="00553A55" w:rsidP="00553A55">
      <w:pPr>
        <w:autoSpaceDE w:val="0"/>
        <w:autoSpaceDN w:val="0"/>
        <w:adjustRightInd w:val="0"/>
        <w:jc w:val="both"/>
        <w:rPr>
          <w:rFonts w:ascii="Arial" w:eastAsia="Calibri" w:hAnsi="Arial" w:cs="Arial"/>
          <w:lang w:val="es-MX"/>
        </w:rPr>
      </w:pPr>
    </w:p>
    <w:p w14:paraId="2A5106F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Gastos de transporte de los bienes embargados;</w:t>
      </w:r>
    </w:p>
    <w:p w14:paraId="01848F5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Gastos de impresión y publicación de convocatorias;</w:t>
      </w:r>
    </w:p>
    <w:p w14:paraId="557BC82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Gastos de inscripción o de cancelación de gravámenes en el Registro Público de la Propiedad y de Comercio del Instituto de Seguridad Jurídica Patrimonial de Yucatán, y</w:t>
      </w:r>
    </w:p>
    <w:p w14:paraId="08B99DCB"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Gastos del certificado de libertad de gravamen.</w:t>
      </w:r>
    </w:p>
    <w:p w14:paraId="53E720BA" w14:textId="77777777" w:rsidR="00553A55" w:rsidRPr="00553A55" w:rsidRDefault="00553A55" w:rsidP="00553A55">
      <w:pPr>
        <w:autoSpaceDE w:val="0"/>
        <w:autoSpaceDN w:val="0"/>
        <w:adjustRightInd w:val="0"/>
        <w:spacing w:line="360" w:lineRule="auto"/>
        <w:jc w:val="both"/>
        <w:rPr>
          <w:rFonts w:ascii="Arial" w:eastAsia="Calibri" w:hAnsi="Arial" w:cs="Arial"/>
          <w:b/>
          <w:bCs/>
          <w:lang w:val="es-MX"/>
        </w:rPr>
      </w:pPr>
    </w:p>
    <w:p w14:paraId="64DF714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146.- </w:t>
      </w:r>
      <w:r w:rsidRPr="00553A55">
        <w:rPr>
          <w:rFonts w:ascii="Arial" w:eastAsia="Calibri" w:hAnsi="Arial" w:cs="Arial"/>
          <w:lang w:val="es-MX"/>
        </w:rPr>
        <w:t>Los gastos de ejecución, no serán objeto de exención, disminución, condonación o convenio.</w:t>
      </w:r>
    </w:p>
    <w:p w14:paraId="6B0AD98F"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p>
    <w:p w14:paraId="1A493870"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El importe corresponderá a los empleados y funcionarios de la Dirección de Finanzas y Tesorería, dividiéndose dicho importe, mediante el siguiente procedimiento:</w:t>
      </w:r>
    </w:p>
    <w:p w14:paraId="0606F356" w14:textId="77777777" w:rsidR="00553A55" w:rsidRPr="00553A55" w:rsidRDefault="00553A55" w:rsidP="00553A55">
      <w:pPr>
        <w:autoSpaceDE w:val="0"/>
        <w:autoSpaceDN w:val="0"/>
        <w:adjustRightInd w:val="0"/>
        <w:jc w:val="both"/>
        <w:rPr>
          <w:rFonts w:ascii="Arial" w:eastAsia="Calibri" w:hAnsi="Arial" w:cs="Arial"/>
          <w:b/>
          <w:bCs/>
          <w:lang w:val="es-MX"/>
        </w:rPr>
      </w:pPr>
    </w:p>
    <w:p w14:paraId="53B1EB21"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Para el caso de que el ingreso por gastos de ejecución, fueren generados en el cobro de multas Federales no fiscales:</w:t>
      </w:r>
    </w:p>
    <w:p w14:paraId="6B96365D"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Director de Finanzas y Tesorería;</w:t>
      </w:r>
    </w:p>
    <w:p w14:paraId="7CB084C5"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Jefe o encargado del Departamento de Ejecución;</w:t>
      </w:r>
    </w:p>
    <w:p w14:paraId="1AE2647E"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Cajeros;</w:t>
      </w:r>
    </w:p>
    <w:p w14:paraId="7A35F10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d) </w:t>
      </w:r>
      <w:r w:rsidRPr="00553A55">
        <w:rPr>
          <w:rFonts w:ascii="Arial" w:eastAsia="Calibri" w:hAnsi="Arial" w:cs="Arial"/>
          <w:lang w:val="es-MX"/>
        </w:rPr>
        <w:t xml:space="preserve"> Departamento de Contabilidad, y</w:t>
      </w:r>
    </w:p>
    <w:p w14:paraId="026D007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e) </w:t>
      </w:r>
      <w:r w:rsidRPr="00553A55">
        <w:rPr>
          <w:rFonts w:ascii="Arial" w:eastAsia="Calibri" w:hAnsi="Arial" w:cs="Arial"/>
          <w:lang w:val="es-MX"/>
        </w:rPr>
        <w:t>Empleados del Departamento.</w:t>
      </w:r>
    </w:p>
    <w:p w14:paraId="2AB7F4E7" w14:textId="77777777" w:rsidR="00553A55" w:rsidRPr="00553A55" w:rsidRDefault="00553A55" w:rsidP="00553A55">
      <w:pPr>
        <w:autoSpaceDE w:val="0"/>
        <w:autoSpaceDN w:val="0"/>
        <w:adjustRightInd w:val="0"/>
        <w:jc w:val="both"/>
        <w:rPr>
          <w:rFonts w:ascii="Arial" w:eastAsia="Calibri" w:hAnsi="Arial" w:cs="Arial"/>
          <w:lang w:val="es-MX"/>
        </w:rPr>
      </w:pPr>
    </w:p>
    <w:p w14:paraId="6E3B1EAE"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Para el caso de que los ingresos por gastos de ejecución, fueren generados en el cobro de cualesquiera otras multas:</w:t>
      </w:r>
    </w:p>
    <w:p w14:paraId="6D14E51B"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a) </w:t>
      </w:r>
      <w:r w:rsidRPr="00553A55">
        <w:rPr>
          <w:rFonts w:ascii="Arial" w:eastAsia="Calibri" w:hAnsi="Arial" w:cs="Arial"/>
          <w:lang w:val="es-MX"/>
        </w:rPr>
        <w:t>Director de Finanzas y Tesorería;</w:t>
      </w:r>
    </w:p>
    <w:p w14:paraId="55A62C3A"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b) </w:t>
      </w:r>
      <w:r w:rsidRPr="00553A55">
        <w:rPr>
          <w:rFonts w:ascii="Arial" w:eastAsia="Calibri" w:hAnsi="Arial" w:cs="Arial"/>
          <w:lang w:val="es-MX"/>
        </w:rPr>
        <w:t>Jefe o encargado del Departamento de Ejecución;</w:t>
      </w:r>
    </w:p>
    <w:p w14:paraId="62FB8ACE"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c) </w:t>
      </w:r>
      <w:r w:rsidRPr="00553A55">
        <w:rPr>
          <w:rFonts w:ascii="Arial" w:eastAsia="Calibri" w:hAnsi="Arial" w:cs="Arial"/>
          <w:lang w:val="es-MX"/>
        </w:rPr>
        <w:t>Notificadores, y</w:t>
      </w:r>
    </w:p>
    <w:p w14:paraId="6708E397" w14:textId="77777777" w:rsidR="00553A55" w:rsidRPr="00553A55" w:rsidRDefault="00553A55" w:rsidP="00553A55">
      <w:pPr>
        <w:autoSpaceDE w:val="0"/>
        <w:autoSpaceDN w:val="0"/>
        <w:adjustRightInd w:val="0"/>
        <w:spacing w:line="360" w:lineRule="auto"/>
        <w:ind w:firstLine="284"/>
        <w:jc w:val="both"/>
        <w:rPr>
          <w:rFonts w:ascii="Arial" w:eastAsia="Calibri" w:hAnsi="Arial" w:cs="Arial"/>
          <w:lang w:val="es-MX"/>
        </w:rPr>
      </w:pPr>
      <w:r w:rsidRPr="00553A55">
        <w:rPr>
          <w:rFonts w:ascii="Arial" w:eastAsia="Calibri" w:hAnsi="Arial" w:cs="Arial"/>
          <w:b/>
          <w:bCs/>
          <w:lang w:val="es-MX"/>
        </w:rPr>
        <w:t xml:space="preserve">d) </w:t>
      </w:r>
      <w:r w:rsidRPr="00553A55">
        <w:rPr>
          <w:rFonts w:ascii="Arial" w:eastAsia="Calibri" w:hAnsi="Arial" w:cs="Arial"/>
          <w:lang w:val="es-MX"/>
        </w:rPr>
        <w:t>Empleados del Departamento.</w:t>
      </w:r>
    </w:p>
    <w:p w14:paraId="5B100121"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100830B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TÍTULO QUINTO</w:t>
      </w:r>
    </w:p>
    <w:p w14:paraId="2540F11C"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DE LOS RECURSOS</w:t>
      </w:r>
    </w:p>
    <w:p w14:paraId="476E8DD9"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p>
    <w:p w14:paraId="77448D07"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CAPÍTULO ÚNICO</w:t>
      </w:r>
    </w:p>
    <w:p w14:paraId="1BE34586"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Disposiciones Generales</w:t>
      </w:r>
    </w:p>
    <w:p w14:paraId="78EEE272" w14:textId="77777777" w:rsidR="00553A55" w:rsidRPr="00553A55" w:rsidRDefault="00553A55" w:rsidP="00553A55">
      <w:pPr>
        <w:autoSpaceDE w:val="0"/>
        <w:autoSpaceDN w:val="0"/>
        <w:adjustRightInd w:val="0"/>
        <w:jc w:val="both"/>
        <w:rPr>
          <w:rFonts w:ascii="Arial" w:eastAsia="Calibri" w:hAnsi="Arial" w:cs="Arial"/>
          <w:b/>
          <w:bCs/>
          <w:lang w:val="es-MX"/>
        </w:rPr>
      </w:pPr>
    </w:p>
    <w:p w14:paraId="7F72152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147.- </w:t>
      </w:r>
      <w:r w:rsidRPr="00553A55">
        <w:rPr>
          <w:rFonts w:ascii="Arial" w:eastAsia="Calibri" w:hAnsi="Arial" w:cs="Arial"/>
          <w:lang w:val="es-MX"/>
        </w:rPr>
        <w:t>Contra las resoluciones que dicten autoridades fiscales municipales, serán admisibles los recursos establecidos en la Ley de Gobierno de los Municipios o en el Código Fiscal, ambos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56A2DFDF" w14:textId="77777777" w:rsidR="00553A55" w:rsidRPr="00553A55" w:rsidRDefault="00553A55" w:rsidP="00553A55">
      <w:pPr>
        <w:autoSpaceDE w:val="0"/>
        <w:autoSpaceDN w:val="0"/>
        <w:adjustRightInd w:val="0"/>
        <w:jc w:val="both"/>
        <w:rPr>
          <w:rFonts w:ascii="Arial" w:eastAsia="Calibri" w:hAnsi="Arial" w:cs="Arial"/>
          <w:b/>
          <w:bCs/>
          <w:lang w:val="es-MX"/>
        </w:rPr>
      </w:pPr>
    </w:p>
    <w:p w14:paraId="4173525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148.- </w:t>
      </w:r>
      <w:r w:rsidRPr="00553A55">
        <w:rPr>
          <w:rFonts w:ascii="Arial" w:eastAsia="Calibri" w:hAnsi="Arial" w:cs="Arial"/>
          <w:lang w:val="es-MX"/>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002AB5C4" w14:textId="77777777" w:rsidR="00553A55" w:rsidRPr="00553A55" w:rsidRDefault="00553A55" w:rsidP="00553A55">
      <w:pPr>
        <w:autoSpaceDE w:val="0"/>
        <w:autoSpaceDN w:val="0"/>
        <w:adjustRightInd w:val="0"/>
        <w:jc w:val="both"/>
        <w:rPr>
          <w:rFonts w:ascii="Arial" w:eastAsia="Calibri" w:hAnsi="Arial" w:cs="Arial"/>
          <w:lang w:val="es-MX"/>
        </w:rPr>
      </w:pPr>
    </w:p>
    <w:p w14:paraId="018BD1BC"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w:t>
      </w:r>
    </w:p>
    <w:p w14:paraId="6BF9CF3F" w14:textId="77777777" w:rsidR="00553A55" w:rsidRPr="00553A55" w:rsidRDefault="00553A55" w:rsidP="00553A55">
      <w:pPr>
        <w:autoSpaceDE w:val="0"/>
        <w:autoSpaceDN w:val="0"/>
        <w:adjustRightInd w:val="0"/>
        <w:jc w:val="both"/>
        <w:rPr>
          <w:rFonts w:ascii="Arial" w:eastAsia="Calibri" w:hAnsi="Arial" w:cs="Arial"/>
          <w:b/>
          <w:bCs/>
          <w:lang w:val="es-MX"/>
        </w:rPr>
      </w:pPr>
    </w:p>
    <w:p w14:paraId="699083B4"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 </w:t>
      </w:r>
      <w:r w:rsidRPr="00553A55">
        <w:rPr>
          <w:rFonts w:ascii="Arial" w:eastAsia="Calibri" w:hAnsi="Arial" w:cs="Arial"/>
          <w:lang w:val="es-MX"/>
        </w:rPr>
        <w:t>Depósito en dinero, en efectivo o en cheque certificado ante la propia autoridad o en una Institución Bancaria autorizada, entregando el correspondiente recibo o billete de depósito;</w:t>
      </w:r>
    </w:p>
    <w:p w14:paraId="6819917D"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 </w:t>
      </w:r>
      <w:r w:rsidRPr="00553A55">
        <w:rPr>
          <w:rFonts w:ascii="Arial" w:eastAsia="Calibri" w:hAnsi="Arial" w:cs="Arial"/>
          <w:lang w:val="es-MX"/>
        </w:rPr>
        <w:t>Fianza, expedida por compañía debidamente autorizada para ello;</w:t>
      </w:r>
    </w:p>
    <w:p w14:paraId="37EF675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III.- </w:t>
      </w:r>
      <w:r w:rsidRPr="00553A55">
        <w:rPr>
          <w:rFonts w:ascii="Arial" w:eastAsia="Calibri" w:hAnsi="Arial" w:cs="Arial"/>
          <w:lang w:val="es-MX"/>
        </w:rPr>
        <w:t>Hipoteca, y</w:t>
      </w:r>
    </w:p>
    <w:p w14:paraId="765C42E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IV.- </w:t>
      </w:r>
      <w:r w:rsidRPr="00553A55">
        <w:rPr>
          <w:rFonts w:ascii="Arial" w:eastAsia="Calibri" w:hAnsi="Arial" w:cs="Arial"/>
          <w:lang w:val="es-MX"/>
        </w:rPr>
        <w:t>Prenda.</w:t>
      </w:r>
    </w:p>
    <w:p w14:paraId="4C7F9100" w14:textId="77777777" w:rsidR="00553A55" w:rsidRPr="00553A55" w:rsidRDefault="00553A55" w:rsidP="00553A55">
      <w:pPr>
        <w:autoSpaceDE w:val="0"/>
        <w:autoSpaceDN w:val="0"/>
        <w:adjustRightInd w:val="0"/>
        <w:jc w:val="both"/>
        <w:rPr>
          <w:rFonts w:ascii="Arial" w:eastAsia="Calibri" w:hAnsi="Arial" w:cs="Arial"/>
          <w:lang w:val="es-MX"/>
        </w:rPr>
      </w:pPr>
    </w:p>
    <w:p w14:paraId="54EA9B38"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Respecto de la garantía prendaria, solamente será aceptado por la autoridad como tal, cuando el monto del crédito fiscal y sus accesorios sea menor o igual a 50 salarios mínimos vigentes en el Estado, al momento de la determinación del crédito.</w:t>
      </w:r>
    </w:p>
    <w:p w14:paraId="4751949A" w14:textId="77777777" w:rsidR="00553A55" w:rsidRPr="00553A55" w:rsidRDefault="00553A55" w:rsidP="00553A55">
      <w:pPr>
        <w:autoSpaceDE w:val="0"/>
        <w:autoSpaceDN w:val="0"/>
        <w:adjustRightInd w:val="0"/>
        <w:jc w:val="both"/>
        <w:rPr>
          <w:rFonts w:ascii="Arial" w:eastAsia="Calibri" w:hAnsi="Arial" w:cs="Arial"/>
          <w:lang w:val="es-MX"/>
        </w:rPr>
      </w:pPr>
    </w:p>
    <w:p w14:paraId="1FBEA8F2"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lang w:val="es-MX"/>
        </w:rPr>
        <w:t>En el procedimiento de constitución de estas garantías se observarán en cuanto fueren aplicables las reglas que fijen en el Código Fiscal de la Federación y su reglamento.</w:t>
      </w:r>
    </w:p>
    <w:p w14:paraId="67A40BCE" w14:textId="77777777" w:rsidR="00553A55" w:rsidRDefault="00553A55" w:rsidP="00553A55">
      <w:pPr>
        <w:autoSpaceDE w:val="0"/>
        <w:autoSpaceDN w:val="0"/>
        <w:adjustRightInd w:val="0"/>
        <w:spacing w:line="360" w:lineRule="auto"/>
        <w:jc w:val="center"/>
        <w:rPr>
          <w:rFonts w:ascii="Arial" w:eastAsia="Calibri" w:hAnsi="Arial" w:cs="Arial"/>
          <w:b/>
          <w:bCs/>
          <w:lang w:val="es-MX"/>
        </w:rPr>
      </w:pPr>
    </w:p>
    <w:p w14:paraId="70640CF3"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lastRenderedPageBreak/>
        <w:t>Descuentos de Impuesto Predial</w:t>
      </w:r>
    </w:p>
    <w:p w14:paraId="4951B997" w14:textId="77777777" w:rsidR="00553A55" w:rsidRPr="00553A55" w:rsidRDefault="00553A55" w:rsidP="00553A55">
      <w:pPr>
        <w:autoSpaceDE w:val="0"/>
        <w:autoSpaceDN w:val="0"/>
        <w:adjustRightInd w:val="0"/>
        <w:spacing w:line="360" w:lineRule="auto"/>
        <w:ind w:firstLine="708"/>
        <w:jc w:val="center"/>
        <w:rPr>
          <w:rFonts w:ascii="Arial" w:eastAsia="Calibri" w:hAnsi="Arial" w:cs="Arial"/>
          <w:lang w:val="es-MX"/>
        </w:rPr>
      </w:pPr>
    </w:p>
    <w:p w14:paraId="5F49C4AC"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bCs/>
          <w:lang w:val="es-MX"/>
        </w:rPr>
        <w:t>Artículo 149.-</w:t>
      </w:r>
      <w:r w:rsidRPr="00553A55">
        <w:rPr>
          <w:rFonts w:ascii="Arial" w:eastAsia="Calibri" w:hAnsi="Arial" w:cs="Arial"/>
          <w:lang w:val="es-MX"/>
        </w:rPr>
        <w:t xml:space="preserve"> El o la contribuyente cuyo predio tenga la categoría de casa-habitación, este ubicado en zona urbanizada y cuyo propietario esté radicado en el municipio de Hunucmá gozará de un 70% de descuento sobre el monto que resultase de su impuesto predial, hasta 3 predios. El porcentaje de descuento señalado en este párrafo no es acumulativo sobre otros descuentos. No estar en la primera franja de la zona costera. Así como también deberá cumplir con los siguientes requisitos:</w:t>
      </w:r>
    </w:p>
    <w:p w14:paraId="2C0AED20" w14:textId="77777777" w:rsidR="00553A55" w:rsidRPr="00553A55" w:rsidRDefault="00553A55" w:rsidP="00553A55">
      <w:pPr>
        <w:jc w:val="both"/>
        <w:rPr>
          <w:rFonts w:ascii="Arial" w:eastAsia="Calibri" w:hAnsi="Arial" w:cs="Arial"/>
          <w:lang w:val="es-MX"/>
        </w:rPr>
      </w:pPr>
    </w:p>
    <w:p w14:paraId="3A37BB05"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1.-</w:t>
      </w:r>
      <w:r w:rsidRPr="00553A55">
        <w:rPr>
          <w:rFonts w:ascii="Arial" w:eastAsia="Calibri" w:hAnsi="Arial" w:cs="Arial"/>
          <w:lang w:val="es-MX"/>
        </w:rPr>
        <w:t xml:space="preserve"> Tener Identificación oficial vigente con domicilio en Hunucmá, Yucatán.</w:t>
      </w:r>
    </w:p>
    <w:p w14:paraId="070E72DB"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2.-</w:t>
      </w:r>
      <w:r w:rsidRPr="00553A55">
        <w:rPr>
          <w:rFonts w:ascii="Arial" w:eastAsia="Calibri" w:hAnsi="Arial" w:cs="Arial"/>
          <w:lang w:val="es-MX"/>
        </w:rPr>
        <w:t xml:space="preserve"> Ser originario del municipio de Hunucmá.</w:t>
      </w:r>
    </w:p>
    <w:p w14:paraId="5058EC56"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3.-</w:t>
      </w:r>
      <w:r w:rsidRPr="00553A55">
        <w:rPr>
          <w:rFonts w:ascii="Arial" w:eastAsia="Calibri" w:hAnsi="Arial" w:cs="Arial"/>
          <w:lang w:val="es-MX"/>
        </w:rPr>
        <w:t xml:space="preserve"> Que los predios estén dentro de la mancha urbana.</w:t>
      </w:r>
    </w:p>
    <w:p w14:paraId="7E6F8298"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4.-</w:t>
      </w:r>
      <w:r w:rsidRPr="00553A55">
        <w:rPr>
          <w:rFonts w:ascii="Arial" w:eastAsia="Calibri" w:hAnsi="Arial" w:cs="Arial"/>
          <w:lang w:val="es-MX"/>
        </w:rPr>
        <w:t xml:space="preserve"> Y toda persona que lleve viviendo más de 5 años en el municipio de Hunucmá.</w:t>
      </w:r>
    </w:p>
    <w:p w14:paraId="16F1FBE1" w14:textId="77777777" w:rsidR="00553A55" w:rsidRPr="00553A55" w:rsidRDefault="00553A55" w:rsidP="00553A55">
      <w:pPr>
        <w:jc w:val="both"/>
        <w:rPr>
          <w:rFonts w:ascii="Arial" w:eastAsia="Calibri" w:hAnsi="Arial" w:cs="Arial"/>
          <w:lang w:val="es-MX"/>
        </w:rPr>
      </w:pPr>
    </w:p>
    <w:p w14:paraId="5C58A78D" w14:textId="77777777" w:rsidR="00553A55" w:rsidRPr="00553A55" w:rsidRDefault="00553A55" w:rsidP="00553A55">
      <w:pPr>
        <w:spacing w:line="360" w:lineRule="auto"/>
        <w:jc w:val="center"/>
        <w:rPr>
          <w:rFonts w:ascii="Arial" w:eastAsia="Calibri" w:hAnsi="Arial" w:cs="Arial"/>
          <w:b/>
          <w:bCs/>
          <w:lang w:val="es-MX"/>
        </w:rPr>
      </w:pPr>
      <w:r w:rsidRPr="00553A55">
        <w:rPr>
          <w:rFonts w:ascii="Arial" w:eastAsia="Calibri" w:hAnsi="Arial" w:cs="Arial"/>
          <w:b/>
          <w:bCs/>
          <w:lang w:val="es-MX"/>
        </w:rPr>
        <w:t>Descuento para Licencia de Construcción</w:t>
      </w:r>
    </w:p>
    <w:p w14:paraId="5020AAA2" w14:textId="77777777" w:rsidR="00553A55" w:rsidRPr="00553A55" w:rsidRDefault="00553A55" w:rsidP="00553A55">
      <w:pPr>
        <w:jc w:val="center"/>
        <w:rPr>
          <w:rFonts w:ascii="Arial" w:eastAsia="Calibri" w:hAnsi="Arial" w:cs="Arial"/>
          <w:b/>
          <w:bCs/>
          <w:lang w:val="es-MX"/>
        </w:rPr>
      </w:pPr>
    </w:p>
    <w:p w14:paraId="103EDD99"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bCs/>
          <w:lang w:val="es-MX"/>
        </w:rPr>
        <w:t xml:space="preserve">Artículo 150.- </w:t>
      </w:r>
      <w:r w:rsidRPr="00553A55">
        <w:rPr>
          <w:rFonts w:ascii="Arial" w:eastAsia="Calibri" w:hAnsi="Arial" w:cs="Arial"/>
          <w:lang w:val="es-MX"/>
        </w:rPr>
        <w:t>Para realizar cualquier descuento de hasta el 50 % (cincuenta por ciento) en el trámite para obtener la licencia de construcción, ampliación y remodelación se podrá otorgar solamente a persona físicas y previo cumplimiento de los siguientes requisitos:</w:t>
      </w:r>
    </w:p>
    <w:p w14:paraId="56C7FAC4"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1.-</w:t>
      </w:r>
      <w:r w:rsidRPr="00553A55">
        <w:rPr>
          <w:rFonts w:ascii="Arial" w:eastAsia="Calibri" w:hAnsi="Arial" w:cs="Arial"/>
          <w:lang w:val="es-MX"/>
        </w:rPr>
        <w:t xml:space="preserve"> Tener Identificación oficial vigente con domicilio en Hunucmá, Yucatán.</w:t>
      </w:r>
    </w:p>
    <w:p w14:paraId="50EC1648"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2.-</w:t>
      </w:r>
      <w:r w:rsidRPr="00553A55">
        <w:rPr>
          <w:rFonts w:ascii="Arial" w:eastAsia="Calibri" w:hAnsi="Arial" w:cs="Arial"/>
          <w:lang w:val="es-MX"/>
        </w:rPr>
        <w:t xml:space="preserve"> Ser originario del municipio de Hunucmá.</w:t>
      </w:r>
    </w:p>
    <w:p w14:paraId="0C1FA346" w14:textId="77777777" w:rsidR="00553A55" w:rsidRPr="00553A55" w:rsidRDefault="00553A55" w:rsidP="00553A55">
      <w:pPr>
        <w:spacing w:line="360" w:lineRule="auto"/>
        <w:jc w:val="both"/>
        <w:rPr>
          <w:rFonts w:ascii="Arial" w:eastAsia="Calibri" w:hAnsi="Arial" w:cs="Arial"/>
          <w:lang w:val="es-MX"/>
        </w:rPr>
      </w:pPr>
      <w:r w:rsidRPr="00553A55">
        <w:rPr>
          <w:rFonts w:ascii="Arial" w:eastAsia="Calibri" w:hAnsi="Arial" w:cs="Arial"/>
          <w:b/>
          <w:lang w:val="es-MX"/>
        </w:rPr>
        <w:t>3.-</w:t>
      </w:r>
      <w:r w:rsidRPr="00553A55">
        <w:rPr>
          <w:rFonts w:ascii="Arial" w:eastAsia="Calibri" w:hAnsi="Arial" w:cs="Arial"/>
          <w:lang w:val="es-MX"/>
        </w:rPr>
        <w:t xml:space="preserve"> Y toda persona que lleve viviendo más de 7 años en el municipio de Hunucmá.</w:t>
      </w:r>
    </w:p>
    <w:p w14:paraId="34C7631C" w14:textId="77777777" w:rsidR="00553A55" w:rsidRPr="00553A55" w:rsidRDefault="00553A55" w:rsidP="00553A55">
      <w:pPr>
        <w:autoSpaceDE w:val="0"/>
        <w:autoSpaceDN w:val="0"/>
        <w:adjustRightInd w:val="0"/>
        <w:jc w:val="both"/>
        <w:rPr>
          <w:rFonts w:ascii="Arial" w:eastAsia="Calibri" w:hAnsi="Arial" w:cs="Arial"/>
          <w:b/>
          <w:bCs/>
          <w:lang w:val="es-MX"/>
        </w:rPr>
      </w:pPr>
    </w:p>
    <w:p w14:paraId="6032093A" w14:textId="77777777" w:rsidR="00553A55" w:rsidRPr="00553A55" w:rsidRDefault="00553A55" w:rsidP="00553A55">
      <w:pPr>
        <w:autoSpaceDE w:val="0"/>
        <w:autoSpaceDN w:val="0"/>
        <w:adjustRightInd w:val="0"/>
        <w:spacing w:line="360" w:lineRule="auto"/>
        <w:jc w:val="center"/>
        <w:rPr>
          <w:rFonts w:ascii="Arial" w:eastAsia="Calibri" w:hAnsi="Arial" w:cs="Arial"/>
          <w:b/>
          <w:bCs/>
          <w:lang w:val="es-MX"/>
        </w:rPr>
      </w:pPr>
      <w:r w:rsidRPr="00553A55">
        <w:rPr>
          <w:rFonts w:ascii="Arial" w:eastAsia="Calibri" w:hAnsi="Arial" w:cs="Arial"/>
          <w:b/>
          <w:bCs/>
          <w:lang w:val="es-MX"/>
        </w:rPr>
        <w:t xml:space="preserve">T r a n s i t o r i o s </w:t>
      </w:r>
    </w:p>
    <w:p w14:paraId="7A98F106" w14:textId="77777777" w:rsidR="00553A55" w:rsidRPr="00553A55" w:rsidRDefault="00553A55" w:rsidP="00553A55">
      <w:pPr>
        <w:autoSpaceDE w:val="0"/>
        <w:autoSpaceDN w:val="0"/>
        <w:adjustRightInd w:val="0"/>
        <w:jc w:val="both"/>
        <w:rPr>
          <w:rFonts w:ascii="Arial" w:eastAsia="Calibri" w:hAnsi="Arial" w:cs="Arial"/>
          <w:b/>
          <w:bCs/>
          <w:lang w:val="es-MX"/>
        </w:rPr>
      </w:pPr>
    </w:p>
    <w:p w14:paraId="5863762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primero. </w:t>
      </w:r>
      <w:r w:rsidRPr="00553A55">
        <w:rPr>
          <w:rFonts w:ascii="Arial" w:eastAsia="Calibri" w:hAnsi="Arial" w:cs="Arial"/>
          <w:lang w:val="es-MX"/>
        </w:rPr>
        <w:t>Se abroga la Ley de Hacienda del Municipio de Hunucmá, Yucatán, publicada el 30 de diciembre del 2022 en el Diario Oficial del Gobierno del Estado de Yucatán, en el Decreto Número 587/2022.</w:t>
      </w:r>
    </w:p>
    <w:p w14:paraId="7AB8A37C" w14:textId="77777777" w:rsidR="00553A55" w:rsidRPr="00553A55" w:rsidRDefault="00553A55" w:rsidP="00553A55">
      <w:pPr>
        <w:autoSpaceDE w:val="0"/>
        <w:autoSpaceDN w:val="0"/>
        <w:adjustRightInd w:val="0"/>
        <w:jc w:val="both"/>
        <w:rPr>
          <w:rFonts w:ascii="Arial" w:eastAsia="Calibri" w:hAnsi="Arial" w:cs="Arial"/>
          <w:lang w:val="es-MX"/>
        </w:rPr>
      </w:pPr>
    </w:p>
    <w:p w14:paraId="1864CCC7"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segundo. </w:t>
      </w:r>
      <w:r w:rsidRPr="00553A55">
        <w:rPr>
          <w:rFonts w:ascii="Arial" w:eastAsia="Calibri" w:hAnsi="Arial" w:cs="Arial"/>
          <w:lang w:val="es-MX"/>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6E10A42A" w14:textId="77777777" w:rsidR="00553A55" w:rsidRPr="00553A55" w:rsidRDefault="00553A55" w:rsidP="00553A55">
      <w:pPr>
        <w:autoSpaceDE w:val="0"/>
        <w:autoSpaceDN w:val="0"/>
        <w:adjustRightInd w:val="0"/>
        <w:jc w:val="both"/>
        <w:rPr>
          <w:rFonts w:ascii="Arial" w:eastAsia="Calibri" w:hAnsi="Arial" w:cs="Arial"/>
          <w:b/>
          <w:bCs/>
          <w:lang w:val="es-MX"/>
        </w:rPr>
      </w:pPr>
    </w:p>
    <w:p w14:paraId="0F76D01A" w14:textId="77777777" w:rsidR="00553A55" w:rsidRPr="00553A55" w:rsidRDefault="00553A55" w:rsidP="00553A55">
      <w:pPr>
        <w:autoSpaceDE w:val="0"/>
        <w:autoSpaceDN w:val="0"/>
        <w:adjustRightInd w:val="0"/>
        <w:spacing w:line="360" w:lineRule="auto"/>
        <w:jc w:val="both"/>
        <w:rPr>
          <w:rFonts w:ascii="Arial" w:eastAsia="Calibri" w:hAnsi="Arial" w:cs="Arial"/>
          <w:lang w:val="es-MX"/>
        </w:rPr>
      </w:pPr>
      <w:r w:rsidRPr="00553A55">
        <w:rPr>
          <w:rFonts w:ascii="Arial" w:eastAsia="Calibri" w:hAnsi="Arial" w:cs="Arial"/>
          <w:b/>
          <w:bCs/>
          <w:lang w:val="es-MX"/>
        </w:rPr>
        <w:t xml:space="preserve">Artículo tercero. </w:t>
      </w:r>
      <w:r w:rsidRPr="00553A55">
        <w:rPr>
          <w:rFonts w:ascii="Arial" w:eastAsia="Calibri" w:hAnsi="Arial" w:cs="Arial"/>
          <w:lang w:val="es-MX"/>
        </w:rPr>
        <w:t>Lo no previsto en esta Ley, se aplicará supletoriamente lo establecido por el Código Fiscal del Estado de Yucatán.</w:t>
      </w:r>
    </w:p>
    <w:p w14:paraId="529908B8" w14:textId="77777777" w:rsidR="00B356E1" w:rsidRDefault="00B356E1" w:rsidP="00697E94">
      <w:pPr>
        <w:spacing w:line="360" w:lineRule="auto"/>
        <w:jc w:val="both"/>
        <w:rPr>
          <w:rFonts w:ascii="Arial" w:eastAsia="Arial" w:hAnsi="Arial" w:cs="Arial"/>
          <w:b/>
          <w:lang w:val="es-MX"/>
        </w:rPr>
      </w:pPr>
    </w:p>
    <w:p w14:paraId="1B65C0E5" w14:textId="0E8145C7" w:rsidR="00553A55" w:rsidRDefault="005B0D13" w:rsidP="009E008C">
      <w:pPr>
        <w:spacing w:line="360" w:lineRule="auto"/>
        <w:jc w:val="center"/>
        <w:rPr>
          <w:rFonts w:ascii="Arial" w:eastAsia="Arial" w:hAnsi="Arial" w:cs="Arial"/>
          <w:b/>
          <w:lang w:val="es-MX"/>
        </w:rPr>
      </w:pPr>
      <w:r>
        <w:rPr>
          <w:rFonts w:ascii="Arial" w:eastAsia="Arial" w:hAnsi="Arial" w:cs="Arial"/>
          <w:b/>
          <w:lang w:val="es-MX"/>
        </w:rPr>
        <w:br w:type="column"/>
      </w:r>
    </w:p>
    <w:p w14:paraId="35C1B751" w14:textId="77777777" w:rsidR="009E008C" w:rsidRPr="009E008C" w:rsidRDefault="009E008C" w:rsidP="009E008C">
      <w:pPr>
        <w:spacing w:line="360" w:lineRule="auto"/>
        <w:jc w:val="center"/>
        <w:rPr>
          <w:rFonts w:ascii="Arial" w:eastAsia="Arial" w:hAnsi="Arial" w:cs="Arial"/>
          <w:b/>
          <w:lang w:val="es-MX"/>
        </w:rPr>
      </w:pPr>
      <w:r w:rsidRPr="009E008C">
        <w:rPr>
          <w:rFonts w:ascii="Arial" w:eastAsia="Arial" w:hAnsi="Arial" w:cs="Arial"/>
          <w:b/>
          <w:lang w:val="es-MX"/>
        </w:rPr>
        <w:t>Transitorio</w:t>
      </w:r>
    </w:p>
    <w:p w14:paraId="63A260CF" w14:textId="77777777" w:rsidR="009E008C" w:rsidRPr="009E008C" w:rsidRDefault="009E008C" w:rsidP="009E008C">
      <w:pPr>
        <w:spacing w:line="360" w:lineRule="auto"/>
        <w:jc w:val="both"/>
        <w:rPr>
          <w:rFonts w:ascii="Arial" w:eastAsia="Arial" w:hAnsi="Arial" w:cs="Arial"/>
          <w:b/>
          <w:lang w:val="es-MX"/>
        </w:rPr>
      </w:pPr>
    </w:p>
    <w:p w14:paraId="6768E2DA" w14:textId="77777777" w:rsidR="009E008C" w:rsidRPr="009E008C" w:rsidRDefault="009E008C" w:rsidP="009E008C">
      <w:pPr>
        <w:spacing w:line="360" w:lineRule="auto"/>
        <w:jc w:val="both"/>
        <w:rPr>
          <w:rFonts w:ascii="Arial" w:eastAsia="Arial" w:hAnsi="Arial" w:cs="Arial"/>
          <w:b/>
          <w:lang w:val="es-MX"/>
        </w:rPr>
      </w:pPr>
      <w:r w:rsidRPr="009E008C">
        <w:rPr>
          <w:rFonts w:ascii="Arial" w:eastAsia="Arial" w:hAnsi="Arial" w:cs="Arial"/>
          <w:b/>
          <w:lang w:val="es-MX"/>
        </w:rPr>
        <w:t>Entrada en vigor</w:t>
      </w:r>
    </w:p>
    <w:p w14:paraId="4BDC2AE7" w14:textId="3DD3B67D" w:rsidR="009E008C" w:rsidRDefault="009E008C" w:rsidP="009E008C">
      <w:pPr>
        <w:spacing w:line="360" w:lineRule="auto"/>
        <w:jc w:val="both"/>
        <w:rPr>
          <w:rFonts w:ascii="Arial" w:eastAsia="Arial" w:hAnsi="Arial" w:cs="Arial"/>
          <w:lang w:val="es-MX"/>
        </w:rPr>
      </w:pPr>
      <w:r w:rsidRPr="009E008C">
        <w:rPr>
          <w:rFonts w:ascii="Arial" w:eastAsia="Arial" w:hAnsi="Arial" w:cs="Arial"/>
          <w:b/>
          <w:lang w:val="es-MX"/>
        </w:rPr>
        <w:t xml:space="preserve">Artículo único. </w:t>
      </w:r>
      <w:r w:rsidRPr="009E008C">
        <w:rPr>
          <w:rFonts w:ascii="Arial" w:eastAsia="Arial" w:hAnsi="Arial" w:cs="Arial"/>
          <w:lang w:val="es-MX"/>
        </w:rPr>
        <w:t>Este Decreto, entrará en vigor el primero de enero del año 2024, previa su publicación en el Diario Oficial del Gobierno del Estado de Yucatán.</w:t>
      </w:r>
    </w:p>
    <w:p w14:paraId="2784E4C2" w14:textId="77777777" w:rsidR="003651B7" w:rsidRDefault="003651B7" w:rsidP="009E008C">
      <w:pPr>
        <w:spacing w:line="360" w:lineRule="auto"/>
        <w:jc w:val="both"/>
        <w:rPr>
          <w:rFonts w:ascii="Arial" w:eastAsia="Arial" w:hAnsi="Arial" w:cs="Arial"/>
          <w:lang w:val="es-MX"/>
        </w:rPr>
      </w:pPr>
    </w:p>
    <w:p w14:paraId="0D891BDE" w14:textId="77777777" w:rsidR="003651B7" w:rsidRPr="00CE0914" w:rsidRDefault="003651B7" w:rsidP="003651B7">
      <w:pPr>
        <w:jc w:val="both"/>
        <w:rPr>
          <w:rFonts w:ascii="Arial" w:eastAsia="Arial" w:hAnsi="Arial" w:cs="Arial"/>
          <w:b/>
          <w:lang w:val="es-MX"/>
        </w:rPr>
      </w:pPr>
      <w:r w:rsidRPr="00CE0914">
        <w:rPr>
          <w:rFonts w:ascii="Arial" w:eastAsia="Arial" w:hAnsi="Arial" w:cs="Arial"/>
          <w:b/>
          <w:lang w:val="es-MX"/>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4BD3AC2D" w14:textId="77777777" w:rsidR="003651B7" w:rsidRDefault="003651B7" w:rsidP="003651B7">
      <w:pPr>
        <w:jc w:val="both"/>
        <w:rPr>
          <w:rFonts w:ascii="Arial" w:eastAsia="Arial" w:hAnsi="Arial" w:cs="Arial"/>
          <w:lang w:val="es-MX"/>
        </w:rPr>
      </w:pPr>
    </w:p>
    <w:p w14:paraId="12811C48" w14:textId="77777777" w:rsidR="003651B7" w:rsidRDefault="003651B7" w:rsidP="003651B7">
      <w:pPr>
        <w:jc w:val="both"/>
        <w:rPr>
          <w:rFonts w:ascii="Arial" w:eastAsia="Arial" w:hAnsi="Arial" w:cs="Arial"/>
          <w:lang w:val="es-MX"/>
        </w:rPr>
      </w:pPr>
      <w:r w:rsidRPr="003651B7">
        <w:rPr>
          <w:rFonts w:ascii="Arial" w:eastAsia="Arial" w:hAnsi="Arial" w:cs="Arial"/>
          <w:lang w:val="es-MX"/>
        </w:rPr>
        <w:t xml:space="preserve">Y, por tanto, mando se imprima, publique y circule para su conocimiento y debido  cumplimiento. </w:t>
      </w:r>
    </w:p>
    <w:p w14:paraId="2E9982C1" w14:textId="77777777" w:rsidR="003651B7" w:rsidRDefault="003651B7" w:rsidP="003651B7">
      <w:pPr>
        <w:jc w:val="both"/>
        <w:rPr>
          <w:rFonts w:ascii="Arial" w:eastAsia="Arial" w:hAnsi="Arial" w:cs="Arial"/>
          <w:lang w:val="es-MX"/>
        </w:rPr>
      </w:pPr>
    </w:p>
    <w:p w14:paraId="5239F683" w14:textId="77777777" w:rsidR="003651B7" w:rsidRDefault="003651B7" w:rsidP="003651B7">
      <w:pPr>
        <w:jc w:val="both"/>
        <w:rPr>
          <w:rFonts w:ascii="Arial" w:eastAsia="Arial" w:hAnsi="Arial" w:cs="Arial"/>
          <w:lang w:val="es-MX"/>
        </w:rPr>
      </w:pPr>
      <w:r w:rsidRPr="003651B7">
        <w:rPr>
          <w:rFonts w:ascii="Arial" w:eastAsia="Arial" w:hAnsi="Arial" w:cs="Arial"/>
          <w:lang w:val="es-MX"/>
        </w:rPr>
        <w:t xml:space="preserve">Se expide este decreto en la sede del Poder Ejecutivo, en Mérida, Yucatán, a 21 de  diciembre de 2023.  </w:t>
      </w:r>
    </w:p>
    <w:p w14:paraId="2BB9893B" w14:textId="77777777" w:rsidR="003651B7" w:rsidRDefault="003651B7" w:rsidP="003651B7">
      <w:pPr>
        <w:jc w:val="both"/>
        <w:rPr>
          <w:rFonts w:ascii="Arial" w:eastAsia="Arial" w:hAnsi="Arial" w:cs="Arial"/>
          <w:lang w:val="es-MX"/>
        </w:rPr>
      </w:pPr>
    </w:p>
    <w:p w14:paraId="2900B39D" w14:textId="3DFC1324" w:rsidR="003651B7" w:rsidRPr="003651B7" w:rsidRDefault="003651B7" w:rsidP="003651B7">
      <w:pPr>
        <w:jc w:val="center"/>
        <w:rPr>
          <w:rFonts w:ascii="Arial" w:eastAsia="Arial" w:hAnsi="Arial" w:cs="Arial"/>
          <w:b/>
          <w:lang w:val="es-MX"/>
        </w:rPr>
      </w:pPr>
      <w:r w:rsidRPr="003651B7">
        <w:rPr>
          <w:rFonts w:ascii="Arial" w:eastAsia="Arial" w:hAnsi="Arial" w:cs="Arial"/>
          <w:b/>
          <w:lang w:val="es-MX"/>
        </w:rPr>
        <w:t>( RÚBRICA )</w:t>
      </w:r>
    </w:p>
    <w:p w14:paraId="1E95825A" w14:textId="0A7727A5" w:rsidR="003651B7" w:rsidRPr="003651B7" w:rsidRDefault="003651B7" w:rsidP="003651B7">
      <w:pPr>
        <w:jc w:val="center"/>
        <w:rPr>
          <w:rFonts w:ascii="Arial" w:eastAsia="Arial" w:hAnsi="Arial" w:cs="Arial"/>
          <w:b/>
          <w:lang w:val="es-MX"/>
        </w:rPr>
      </w:pPr>
      <w:r w:rsidRPr="003651B7">
        <w:rPr>
          <w:rFonts w:ascii="Arial" w:eastAsia="Arial" w:hAnsi="Arial" w:cs="Arial"/>
          <w:b/>
          <w:lang w:val="es-MX"/>
        </w:rPr>
        <w:t>Lic. Mauricio Vila Dosal</w:t>
      </w:r>
    </w:p>
    <w:p w14:paraId="07D261D2" w14:textId="18389712" w:rsidR="003651B7" w:rsidRPr="003651B7" w:rsidRDefault="003651B7" w:rsidP="003651B7">
      <w:pPr>
        <w:jc w:val="center"/>
        <w:rPr>
          <w:rFonts w:ascii="Arial" w:eastAsia="Arial" w:hAnsi="Arial" w:cs="Arial"/>
          <w:b/>
          <w:lang w:val="es-MX"/>
        </w:rPr>
      </w:pPr>
      <w:r w:rsidRPr="003651B7">
        <w:rPr>
          <w:rFonts w:ascii="Arial" w:eastAsia="Arial" w:hAnsi="Arial" w:cs="Arial"/>
          <w:b/>
          <w:lang w:val="es-MX"/>
        </w:rPr>
        <w:t>Gobernador del Estado de Yucatán</w:t>
      </w:r>
    </w:p>
    <w:p w14:paraId="5E882BAF" w14:textId="77777777" w:rsidR="003651B7" w:rsidRDefault="003651B7" w:rsidP="003651B7">
      <w:pPr>
        <w:jc w:val="both"/>
        <w:rPr>
          <w:rFonts w:ascii="Arial" w:eastAsia="Arial" w:hAnsi="Arial" w:cs="Arial"/>
          <w:lang w:val="es-MX"/>
        </w:rPr>
      </w:pPr>
    </w:p>
    <w:p w14:paraId="4E0854DF" w14:textId="0638EFD3" w:rsidR="003651B7" w:rsidRPr="003651B7" w:rsidRDefault="003651B7" w:rsidP="003651B7">
      <w:pPr>
        <w:jc w:val="both"/>
        <w:rPr>
          <w:rFonts w:ascii="Arial" w:eastAsia="Arial" w:hAnsi="Arial" w:cs="Arial"/>
          <w:b/>
          <w:lang w:val="es-MX"/>
        </w:rPr>
      </w:pPr>
      <w:r>
        <w:rPr>
          <w:rFonts w:ascii="Arial" w:eastAsia="Arial" w:hAnsi="Arial" w:cs="Arial"/>
          <w:b/>
          <w:lang w:val="es-MX"/>
        </w:rPr>
        <w:t xml:space="preserve">                </w:t>
      </w:r>
      <w:r w:rsidRPr="003651B7">
        <w:rPr>
          <w:rFonts w:ascii="Arial" w:eastAsia="Arial" w:hAnsi="Arial" w:cs="Arial"/>
          <w:b/>
          <w:lang w:val="es-MX"/>
        </w:rPr>
        <w:t xml:space="preserve">( RÚBRICA )  </w:t>
      </w:r>
    </w:p>
    <w:p w14:paraId="6F2F2A0A" w14:textId="77777777" w:rsidR="003651B7" w:rsidRPr="003651B7" w:rsidRDefault="003651B7" w:rsidP="003651B7">
      <w:pPr>
        <w:jc w:val="both"/>
        <w:rPr>
          <w:rFonts w:ascii="Arial" w:eastAsia="Arial" w:hAnsi="Arial" w:cs="Arial"/>
          <w:b/>
          <w:lang w:val="es-MX"/>
        </w:rPr>
      </w:pPr>
      <w:r w:rsidRPr="003651B7">
        <w:rPr>
          <w:rFonts w:ascii="Arial" w:eastAsia="Arial" w:hAnsi="Arial" w:cs="Arial"/>
          <w:b/>
          <w:lang w:val="es-MX"/>
        </w:rPr>
        <w:t xml:space="preserve">Abog. María Dolores Fritz Sierra </w:t>
      </w:r>
    </w:p>
    <w:p w14:paraId="3048B83A" w14:textId="7F6CA668" w:rsidR="003651B7" w:rsidRPr="003651B7" w:rsidRDefault="003651B7" w:rsidP="003651B7">
      <w:pPr>
        <w:jc w:val="both"/>
        <w:rPr>
          <w:rFonts w:ascii="Arial" w:eastAsia="Arial" w:hAnsi="Arial" w:cs="Arial"/>
          <w:b/>
          <w:lang w:val="es-MX"/>
        </w:rPr>
      </w:pPr>
      <w:r w:rsidRPr="003651B7">
        <w:rPr>
          <w:rFonts w:ascii="Arial" w:eastAsia="Arial" w:hAnsi="Arial" w:cs="Arial"/>
          <w:b/>
          <w:lang w:val="es-MX"/>
        </w:rPr>
        <w:t>Secretaria general de Gobierno</w:t>
      </w:r>
    </w:p>
    <w:sectPr w:rsidR="003651B7" w:rsidRPr="003651B7" w:rsidSect="009E008C">
      <w:headerReference w:type="default" r:id="rId18"/>
      <w:footerReference w:type="default" r:id="rId19"/>
      <w:pgSz w:w="12240" w:h="15840" w:code="1"/>
      <w:pgMar w:top="198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E846" w14:textId="77777777" w:rsidR="009E008C" w:rsidRDefault="009E008C">
      <w:r>
        <w:separator/>
      </w:r>
    </w:p>
  </w:endnote>
  <w:endnote w:type="continuationSeparator" w:id="0">
    <w:p w14:paraId="4F0A9EE5" w14:textId="77777777" w:rsidR="009E008C" w:rsidRDefault="009E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E270" w14:textId="77777777" w:rsidR="003B0523" w:rsidRDefault="003B05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3DB4" w14:textId="77777777" w:rsidR="003B0523" w:rsidRDefault="003B05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C840" w14:textId="77777777" w:rsidR="003B0523" w:rsidRDefault="003B052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63257"/>
      <w:docPartObj>
        <w:docPartGallery w:val="Page Numbers (Bottom of Page)"/>
        <w:docPartUnique/>
      </w:docPartObj>
    </w:sdtPr>
    <w:sdtEndPr/>
    <w:sdtContent>
      <w:p w14:paraId="2026621E" w14:textId="7B9A17DC" w:rsidR="009E008C" w:rsidRPr="00A428FA" w:rsidRDefault="009E008C">
        <w:pPr>
          <w:pStyle w:val="Piedepgina"/>
          <w:jc w:val="center"/>
        </w:pPr>
        <w:r w:rsidRPr="00A428FA">
          <w:fldChar w:fldCharType="begin"/>
        </w:r>
        <w:r w:rsidRPr="00A428FA">
          <w:instrText>PAGE   \* MERGEFORMAT</w:instrText>
        </w:r>
        <w:r w:rsidRPr="00A428FA">
          <w:fldChar w:fldCharType="separate"/>
        </w:r>
        <w:r w:rsidR="003B0523" w:rsidRPr="003B0523">
          <w:rPr>
            <w:noProof/>
            <w:lang w:val="es-ES"/>
          </w:rPr>
          <w:t>2</w:t>
        </w:r>
        <w:r w:rsidRPr="00A428F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FF92" w14:textId="77777777" w:rsidR="009E008C" w:rsidRDefault="009E008C">
      <w:r>
        <w:separator/>
      </w:r>
    </w:p>
  </w:footnote>
  <w:footnote w:type="continuationSeparator" w:id="0">
    <w:p w14:paraId="4F4891D2" w14:textId="77777777" w:rsidR="009E008C" w:rsidRDefault="009E008C">
      <w:r>
        <w:continuationSeparator/>
      </w:r>
    </w:p>
  </w:footnote>
  <w:footnote w:id="1">
    <w:p w14:paraId="0D9326B7" w14:textId="77777777" w:rsidR="009E008C" w:rsidRPr="008345F7" w:rsidRDefault="009E008C" w:rsidP="009E008C">
      <w:pPr>
        <w:widowControl w:val="0"/>
        <w:autoSpaceDE w:val="0"/>
        <w:autoSpaceDN w:val="0"/>
        <w:adjustRightInd w:val="0"/>
        <w:spacing w:after="240"/>
        <w:ind w:firstLine="708"/>
        <w:jc w:val="both"/>
        <w:rPr>
          <w:rFonts w:ascii="Arial" w:hAnsi="Arial" w:cs="Arial"/>
          <w:sz w:val="16"/>
          <w:szCs w:val="16"/>
          <w:lang w:val="es-MX"/>
        </w:rPr>
      </w:pPr>
      <w:r w:rsidRPr="008345F7">
        <w:rPr>
          <w:rStyle w:val="Refdenotaalpie"/>
          <w:rFonts w:ascii="Arial" w:hAnsi="Arial" w:cs="Arial"/>
          <w:lang w:val="es-MX"/>
        </w:rPr>
        <w:footnoteRef/>
      </w:r>
      <w:r w:rsidRPr="008345F7">
        <w:rPr>
          <w:rFonts w:ascii="Arial" w:hAnsi="Arial" w:cs="Arial"/>
          <w:sz w:val="16"/>
          <w:szCs w:val="16"/>
          <w:lang w:val="es-MX"/>
        </w:rPr>
        <w:t xml:space="preserve"> Época: Novena Época, Registro: 163468, Instancia: Primera Sala, Tipo de Tesis: Aislada, Fuente: Semanario Judicial de la Federación y su Gaceta, Tomo XXXII, noviembre de 2010, Materia(s): Constitucional, Tesis: 1a. CXI/2010, Página: 1213 </w:t>
      </w:r>
    </w:p>
    <w:p w14:paraId="6140EEA1" w14:textId="77777777" w:rsidR="009E008C" w:rsidRPr="00791FEA" w:rsidRDefault="009E008C" w:rsidP="009E008C">
      <w:pPr>
        <w:pStyle w:val="Textonotapie"/>
        <w:rPr>
          <w:lang w:val="es-MX"/>
        </w:rPr>
      </w:pPr>
    </w:p>
  </w:footnote>
  <w:footnote w:id="2">
    <w:p w14:paraId="130F8084" w14:textId="77777777" w:rsidR="009E008C" w:rsidRPr="00791FEA" w:rsidRDefault="009E008C" w:rsidP="009E008C">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54C1FC41"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Apéndice</w:t>
      </w:r>
      <w:proofErr w:type="spellEnd"/>
      <w:r w:rsidRPr="007A4407">
        <w:rPr>
          <w:rFonts w:ascii="Arial" w:hAnsi="Arial" w:cs="Arial"/>
          <w:sz w:val="16"/>
          <w:szCs w:val="16"/>
        </w:rPr>
        <w:t xml:space="preserve"> de 1995, </w:t>
      </w:r>
      <w:proofErr w:type="spellStart"/>
      <w:r w:rsidRPr="007A4407">
        <w:rPr>
          <w:rFonts w:ascii="Arial" w:hAnsi="Arial" w:cs="Arial"/>
          <w:sz w:val="16"/>
          <w:szCs w:val="16"/>
        </w:rPr>
        <w:t>Tomo</w:t>
      </w:r>
      <w:proofErr w:type="spellEnd"/>
      <w:r w:rsidRPr="007A4407">
        <w:rPr>
          <w:rFonts w:ascii="Arial" w:hAnsi="Arial" w:cs="Arial"/>
          <w:sz w:val="16"/>
          <w:szCs w:val="16"/>
        </w:rPr>
        <w:t xml:space="preserve"> I,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SCJN, Tesis: 168, </w:t>
      </w:r>
      <w:proofErr w:type="spellStart"/>
      <w:r w:rsidRPr="007A4407">
        <w:rPr>
          <w:rFonts w:ascii="Arial" w:hAnsi="Arial" w:cs="Arial"/>
          <w:sz w:val="16"/>
          <w:szCs w:val="16"/>
        </w:rPr>
        <w:t>Pág</w:t>
      </w:r>
      <w:proofErr w:type="spellEnd"/>
      <w:r w:rsidRPr="007A4407">
        <w:rPr>
          <w:rFonts w:ascii="Arial" w:hAnsi="Arial" w:cs="Arial"/>
          <w:sz w:val="16"/>
          <w:szCs w:val="16"/>
        </w:rPr>
        <w:t xml:space="preserve">. 169,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Numero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389621.</w:t>
      </w:r>
    </w:p>
  </w:footnote>
  <w:footnote w:id="4">
    <w:p w14:paraId="30F71B36"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Apéndice</w:t>
      </w:r>
      <w:proofErr w:type="spellEnd"/>
      <w:r w:rsidRPr="007A4407">
        <w:rPr>
          <w:rFonts w:ascii="Arial" w:hAnsi="Arial" w:cs="Arial"/>
          <w:sz w:val="16"/>
          <w:szCs w:val="16"/>
        </w:rPr>
        <w:t xml:space="preserve"> de 1995, </w:t>
      </w:r>
      <w:proofErr w:type="spellStart"/>
      <w:r w:rsidRPr="007A4407">
        <w:rPr>
          <w:rFonts w:ascii="Arial" w:hAnsi="Arial" w:cs="Arial"/>
          <w:sz w:val="16"/>
          <w:szCs w:val="16"/>
        </w:rPr>
        <w:t>Tomo</w:t>
      </w:r>
      <w:proofErr w:type="spellEnd"/>
      <w:r w:rsidRPr="007A4407">
        <w:rPr>
          <w:rFonts w:ascii="Arial" w:hAnsi="Arial" w:cs="Arial"/>
          <w:sz w:val="16"/>
          <w:szCs w:val="16"/>
        </w:rPr>
        <w:t xml:space="preserve"> I,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SCJN, Tesis: 162, </w:t>
      </w:r>
      <w:proofErr w:type="spellStart"/>
      <w:r w:rsidRPr="007A4407">
        <w:rPr>
          <w:rFonts w:ascii="Arial" w:hAnsi="Arial" w:cs="Arial"/>
          <w:sz w:val="16"/>
          <w:szCs w:val="16"/>
        </w:rPr>
        <w:t>Pág</w:t>
      </w:r>
      <w:proofErr w:type="spellEnd"/>
      <w:r w:rsidRPr="007A4407">
        <w:rPr>
          <w:rFonts w:ascii="Arial" w:hAnsi="Arial" w:cs="Arial"/>
          <w:sz w:val="16"/>
          <w:szCs w:val="16"/>
        </w:rPr>
        <w:t xml:space="preserve">. 165,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Numero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389615. </w:t>
      </w:r>
    </w:p>
  </w:footnote>
  <w:footnote w:id="5">
    <w:p w14:paraId="12DBB90B"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P. CXLVIII/97, </w:t>
      </w:r>
      <w:proofErr w:type="spellStart"/>
      <w:r w:rsidRPr="007A4407">
        <w:rPr>
          <w:rFonts w:ascii="Arial" w:hAnsi="Arial" w:cs="Arial"/>
          <w:sz w:val="16"/>
          <w:szCs w:val="16"/>
        </w:rPr>
        <w:t>Semanario</w:t>
      </w:r>
      <w:proofErr w:type="spellEnd"/>
      <w:r w:rsidRPr="007A4407">
        <w:rPr>
          <w:rFonts w:ascii="Arial" w:hAnsi="Arial" w:cs="Arial"/>
          <w:sz w:val="16"/>
          <w:szCs w:val="16"/>
        </w:rPr>
        <w:t xml:space="preserve"> Judicial de la </w:t>
      </w:r>
      <w:proofErr w:type="spellStart"/>
      <w:r w:rsidRPr="007A4407">
        <w:rPr>
          <w:rFonts w:ascii="Arial" w:hAnsi="Arial" w:cs="Arial"/>
          <w:sz w:val="16"/>
          <w:szCs w:val="16"/>
        </w:rPr>
        <w:t>Federación</w:t>
      </w:r>
      <w:proofErr w:type="spellEnd"/>
      <w:r w:rsidRPr="007A4407">
        <w:rPr>
          <w:rFonts w:ascii="Arial" w:hAnsi="Arial" w:cs="Arial"/>
          <w:sz w:val="16"/>
          <w:szCs w:val="16"/>
        </w:rPr>
        <w:t xml:space="preserve"> y </w:t>
      </w:r>
      <w:proofErr w:type="spellStart"/>
      <w:r w:rsidRPr="007A4407">
        <w:rPr>
          <w:rFonts w:ascii="Arial" w:hAnsi="Arial" w:cs="Arial"/>
          <w:sz w:val="16"/>
          <w:szCs w:val="16"/>
        </w:rPr>
        <w:t>su</w:t>
      </w:r>
      <w:proofErr w:type="spellEnd"/>
      <w:r w:rsidRPr="007A4407">
        <w:rPr>
          <w:rFonts w:ascii="Arial" w:hAnsi="Arial" w:cs="Arial"/>
          <w:sz w:val="16"/>
          <w:szCs w:val="16"/>
        </w:rPr>
        <w:t xml:space="preserve"> Gaceta, </w:t>
      </w:r>
      <w:proofErr w:type="spellStart"/>
      <w:r w:rsidRPr="007A4407">
        <w:rPr>
          <w:rFonts w:ascii="Arial" w:hAnsi="Arial" w:cs="Arial"/>
          <w:sz w:val="16"/>
          <w:szCs w:val="16"/>
        </w:rPr>
        <w:t>Tomo</w:t>
      </w:r>
      <w:proofErr w:type="spellEnd"/>
      <w:r w:rsidRPr="007A4407">
        <w:rPr>
          <w:rFonts w:ascii="Arial" w:hAnsi="Arial" w:cs="Arial"/>
          <w:sz w:val="16"/>
          <w:szCs w:val="16"/>
        </w:rPr>
        <w:t xml:space="preserve"> VI, </w:t>
      </w:r>
      <w:proofErr w:type="spellStart"/>
      <w:r w:rsidRPr="007A4407">
        <w:rPr>
          <w:rFonts w:ascii="Arial" w:hAnsi="Arial" w:cs="Arial"/>
          <w:sz w:val="16"/>
          <w:szCs w:val="16"/>
        </w:rPr>
        <w:t>noviembre</w:t>
      </w:r>
      <w:proofErr w:type="spellEnd"/>
      <w:r w:rsidRPr="007A4407">
        <w:rPr>
          <w:rFonts w:ascii="Arial" w:hAnsi="Arial" w:cs="Arial"/>
          <w:sz w:val="16"/>
          <w:szCs w:val="16"/>
        </w:rPr>
        <w:t xml:space="preserve"> de 1997, </w:t>
      </w:r>
      <w:proofErr w:type="spellStart"/>
      <w:r w:rsidRPr="007A4407">
        <w:rPr>
          <w:rFonts w:ascii="Arial" w:hAnsi="Arial" w:cs="Arial"/>
          <w:sz w:val="16"/>
          <w:szCs w:val="16"/>
        </w:rPr>
        <w:t>Pág</w:t>
      </w:r>
      <w:proofErr w:type="spellEnd"/>
      <w:r w:rsidRPr="007A4407">
        <w:rPr>
          <w:rFonts w:ascii="Arial" w:hAnsi="Arial" w:cs="Arial"/>
          <w:sz w:val="16"/>
          <w:szCs w:val="16"/>
        </w:rPr>
        <w:t xml:space="preserve">. 78, </w:t>
      </w:r>
      <w:proofErr w:type="spellStart"/>
      <w:r w:rsidRPr="007A4407">
        <w:rPr>
          <w:rFonts w:ascii="Arial" w:hAnsi="Arial" w:cs="Arial"/>
          <w:sz w:val="16"/>
          <w:szCs w:val="16"/>
        </w:rPr>
        <w:t>Numero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197375. </w:t>
      </w:r>
    </w:p>
    <w:p w14:paraId="125686FB" w14:textId="77777777" w:rsidR="009E008C" w:rsidRPr="007A4407" w:rsidRDefault="009E008C" w:rsidP="009E008C">
      <w:pPr>
        <w:pStyle w:val="Textonotapie"/>
        <w:rPr>
          <w:rFonts w:ascii="Arial" w:hAnsi="Arial" w:cs="Arial"/>
          <w:sz w:val="16"/>
          <w:szCs w:val="16"/>
          <w:lang w:val="es-MX"/>
        </w:rPr>
      </w:pPr>
    </w:p>
  </w:footnote>
  <w:footnote w:id="6">
    <w:p w14:paraId="1C851690" w14:textId="77777777" w:rsidR="009E008C" w:rsidRPr="007A4407" w:rsidRDefault="009E008C" w:rsidP="009E008C">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 /J. 109/99, Semanario Judicial de la Federación y su Gaceta, Tomo X, noviembre de 1999, Pág. 22, Numero de registro 192849 </w:t>
      </w:r>
    </w:p>
  </w:footnote>
  <w:footnote w:id="7">
    <w:p w14:paraId="38BF61D0" w14:textId="77777777" w:rsidR="009E008C" w:rsidRPr="007A4407" w:rsidRDefault="009E008C" w:rsidP="009E008C">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P./J. 10/2003, Semanario Judicial de la Federación y su Gaceta, Tomo XVII, mayo de 2003, Pág. 144, Numero de registro 184291.</w:t>
      </w:r>
    </w:p>
  </w:footnote>
  <w:footnote w:id="8">
    <w:p w14:paraId="211837B0" w14:textId="77777777" w:rsidR="009E008C" w:rsidRPr="007A4407" w:rsidRDefault="009E008C" w:rsidP="009E008C">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Semanario</w:t>
      </w:r>
      <w:proofErr w:type="spellEnd"/>
      <w:r w:rsidRPr="007A4407">
        <w:rPr>
          <w:rFonts w:ascii="Arial" w:hAnsi="Arial" w:cs="Arial"/>
          <w:sz w:val="16"/>
          <w:szCs w:val="16"/>
        </w:rPr>
        <w:t xml:space="preserve"> Judicial de la </w:t>
      </w:r>
      <w:proofErr w:type="spellStart"/>
      <w:r w:rsidRPr="007A4407">
        <w:rPr>
          <w:rFonts w:ascii="Arial" w:hAnsi="Arial" w:cs="Arial"/>
          <w:sz w:val="16"/>
          <w:szCs w:val="16"/>
        </w:rPr>
        <w:t>Federación</w:t>
      </w:r>
      <w:proofErr w:type="spellEnd"/>
      <w:r w:rsidRPr="007A4407">
        <w:rPr>
          <w:rFonts w:ascii="Arial" w:hAnsi="Arial" w:cs="Arial"/>
          <w:sz w:val="16"/>
          <w:szCs w:val="16"/>
        </w:rPr>
        <w:t xml:space="preserve">, </w:t>
      </w:r>
      <w:proofErr w:type="spellStart"/>
      <w:r w:rsidRPr="007A4407">
        <w:rPr>
          <w:rFonts w:ascii="Arial" w:hAnsi="Arial" w:cs="Arial"/>
          <w:sz w:val="16"/>
          <w:szCs w:val="16"/>
        </w:rPr>
        <w:t>Volumen</w:t>
      </w:r>
      <w:proofErr w:type="spellEnd"/>
      <w:r w:rsidRPr="007A4407">
        <w:rPr>
          <w:rFonts w:ascii="Arial" w:hAnsi="Arial" w:cs="Arial"/>
          <w:sz w:val="16"/>
          <w:szCs w:val="16"/>
        </w:rPr>
        <w:t xml:space="preserve"> 187-192, Primera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w:t>
      </w:r>
      <w:proofErr w:type="spellStart"/>
      <w:r w:rsidRPr="007A4407">
        <w:rPr>
          <w:rFonts w:ascii="Arial" w:hAnsi="Arial" w:cs="Arial"/>
          <w:sz w:val="16"/>
          <w:szCs w:val="16"/>
        </w:rPr>
        <w:t>Pág</w:t>
      </w:r>
      <w:proofErr w:type="spellEnd"/>
      <w:r w:rsidRPr="007A4407">
        <w:rPr>
          <w:rFonts w:ascii="Arial" w:hAnsi="Arial" w:cs="Arial"/>
          <w:sz w:val="16"/>
          <w:szCs w:val="16"/>
        </w:rPr>
        <w:t xml:space="preserve">. 111,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Número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232308</w:t>
      </w:r>
    </w:p>
  </w:footnote>
  <w:footnote w:id="9">
    <w:p w14:paraId="391D2D96" w14:textId="77777777" w:rsidR="009E008C" w:rsidRPr="007A4407" w:rsidRDefault="009E008C" w:rsidP="009E008C">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Semanario</w:t>
      </w:r>
      <w:proofErr w:type="spellEnd"/>
      <w:r w:rsidRPr="007A4407">
        <w:rPr>
          <w:rFonts w:ascii="Arial" w:hAnsi="Arial" w:cs="Arial"/>
          <w:sz w:val="16"/>
          <w:szCs w:val="16"/>
        </w:rPr>
        <w:t xml:space="preserve"> Judicial de la </w:t>
      </w:r>
      <w:proofErr w:type="spellStart"/>
      <w:r w:rsidRPr="007A4407">
        <w:rPr>
          <w:rFonts w:ascii="Arial" w:hAnsi="Arial" w:cs="Arial"/>
          <w:sz w:val="16"/>
          <w:szCs w:val="16"/>
        </w:rPr>
        <w:t>Federación</w:t>
      </w:r>
      <w:proofErr w:type="spellEnd"/>
      <w:r w:rsidRPr="007A4407">
        <w:rPr>
          <w:rFonts w:ascii="Arial" w:hAnsi="Arial" w:cs="Arial"/>
          <w:sz w:val="16"/>
          <w:szCs w:val="16"/>
        </w:rPr>
        <w:t xml:space="preserve">, </w:t>
      </w:r>
      <w:proofErr w:type="spellStart"/>
      <w:r w:rsidRPr="007A4407">
        <w:rPr>
          <w:rFonts w:ascii="Arial" w:hAnsi="Arial" w:cs="Arial"/>
          <w:sz w:val="16"/>
          <w:szCs w:val="16"/>
        </w:rPr>
        <w:t>Volumen</w:t>
      </w:r>
      <w:proofErr w:type="spellEnd"/>
      <w:r w:rsidRPr="007A4407">
        <w:rPr>
          <w:rFonts w:ascii="Arial" w:hAnsi="Arial" w:cs="Arial"/>
          <w:sz w:val="16"/>
          <w:szCs w:val="16"/>
        </w:rPr>
        <w:t xml:space="preserve"> 199-204, Primera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Pág.144,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Número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232197 </w:t>
      </w:r>
    </w:p>
    <w:p w14:paraId="2F6A9462" w14:textId="77777777" w:rsidR="009E008C" w:rsidRPr="007A4407" w:rsidRDefault="009E008C" w:rsidP="009E008C">
      <w:pPr>
        <w:pStyle w:val="Textonotapie"/>
        <w:jc w:val="both"/>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CA9" w14:textId="77777777" w:rsidR="003B0523" w:rsidRDefault="003B05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CD8F" w14:textId="77777777" w:rsidR="003B0523" w:rsidRDefault="003B052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E008C" w14:paraId="5B862D37" w14:textId="77777777" w:rsidTr="009E008C">
      <w:trPr>
        <w:cantSplit/>
        <w:trHeight w:val="329"/>
      </w:trPr>
      <w:tc>
        <w:tcPr>
          <w:tcW w:w="1260" w:type="dxa"/>
          <w:vMerge w:val="restart"/>
          <w:vAlign w:val="center"/>
        </w:tcPr>
        <w:p w14:paraId="1FE143E8" w14:textId="77777777" w:rsidR="009E008C" w:rsidRDefault="009E008C" w:rsidP="009E008C">
          <w:pPr>
            <w:pStyle w:val="Encabezado"/>
            <w:rPr>
              <w:rFonts w:ascii="CG Omega" w:hAnsi="CG Omega" w:cs="CG Omega"/>
              <w:sz w:val="16"/>
              <w:szCs w:val="16"/>
            </w:rPr>
          </w:pPr>
          <w:r w:rsidRPr="00385D64">
            <w:rPr>
              <w:rFonts w:ascii="CG Omega" w:hAnsi="CG Omega" w:cs="CG Omega"/>
              <w:sz w:val="16"/>
              <w:szCs w:val="16"/>
            </w:rPr>
            <w:object w:dxaOrig="1122" w:dyaOrig="972" w14:anchorId="1C270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7pt;height:48.6pt">
                <v:imagedata r:id="rId1" o:title=""/>
              </v:shape>
              <o:OLEObject Type="Embed" ProgID="Word.Picture.8" ShapeID="_x0000_i1027" DrawAspect="Content" ObjectID="_1766234315" r:id="rId2"/>
            </w:object>
          </w:r>
        </w:p>
      </w:tc>
      <w:tc>
        <w:tcPr>
          <w:tcW w:w="9000" w:type="dxa"/>
          <w:gridSpan w:val="2"/>
          <w:tcBorders>
            <w:bottom w:val="double" w:sz="4" w:space="0" w:color="auto"/>
          </w:tcBorders>
          <w:vAlign w:val="bottom"/>
        </w:tcPr>
        <w:p w14:paraId="1FF6D641" w14:textId="77777777" w:rsidR="009E008C" w:rsidRDefault="009E008C" w:rsidP="009E008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E008C" w14:paraId="061749FC" w14:textId="77777777" w:rsidTr="009E008C">
      <w:trPr>
        <w:cantSplit/>
        <w:trHeight w:val="49"/>
      </w:trPr>
      <w:tc>
        <w:tcPr>
          <w:tcW w:w="1260" w:type="dxa"/>
          <w:vMerge/>
        </w:tcPr>
        <w:p w14:paraId="45817A43" w14:textId="77777777" w:rsidR="009E008C" w:rsidRDefault="009E008C" w:rsidP="009E008C">
          <w:pPr>
            <w:pStyle w:val="Encabezado"/>
            <w:rPr>
              <w:rFonts w:ascii="CG Omega" w:hAnsi="CG Omega" w:cs="CG Omega"/>
              <w:sz w:val="16"/>
              <w:szCs w:val="16"/>
            </w:rPr>
          </w:pPr>
        </w:p>
      </w:tc>
      <w:tc>
        <w:tcPr>
          <w:tcW w:w="9000" w:type="dxa"/>
          <w:gridSpan w:val="2"/>
          <w:tcBorders>
            <w:top w:val="double" w:sz="4" w:space="0" w:color="auto"/>
          </w:tcBorders>
        </w:tcPr>
        <w:p w14:paraId="133C29AB" w14:textId="77777777" w:rsidR="009E008C" w:rsidRDefault="009E008C" w:rsidP="009E008C">
          <w:pPr>
            <w:pStyle w:val="Encabezado"/>
            <w:ind w:left="-70"/>
            <w:jc w:val="right"/>
            <w:rPr>
              <w:rFonts w:ascii="Arial Narrow" w:hAnsi="Arial Narrow" w:cs="Arial Narrow"/>
              <w:sz w:val="4"/>
              <w:szCs w:val="4"/>
            </w:rPr>
          </w:pPr>
        </w:p>
      </w:tc>
    </w:tr>
    <w:tr w:rsidR="009E008C" w14:paraId="005F0306" w14:textId="77777777" w:rsidTr="009E008C">
      <w:trPr>
        <w:cantSplit/>
        <w:trHeight w:val="291"/>
      </w:trPr>
      <w:tc>
        <w:tcPr>
          <w:tcW w:w="1260" w:type="dxa"/>
          <w:vMerge/>
        </w:tcPr>
        <w:p w14:paraId="467DF940" w14:textId="77777777" w:rsidR="009E008C" w:rsidRDefault="009E008C" w:rsidP="009E008C">
          <w:pPr>
            <w:pStyle w:val="Encabezado"/>
            <w:rPr>
              <w:rFonts w:ascii="CG Omega" w:hAnsi="CG Omega" w:cs="CG Omega"/>
              <w:sz w:val="16"/>
              <w:szCs w:val="16"/>
            </w:rPr>
          </w:pPr>
        </w:p>
      </w:tc>
      <w:tc>
        <w:tcPr>
          <w:tcW w:w="4212" w:type="dxa"/>
        </w:tcPr>
        <w:p w14:paraId="69CFE8A2" w14:textId="77777777" w:rsidR="009E008C" w:rsidRDefault="009E008C" w:rsidP="009E008C">
          <w:pPr>
            <w:pStyle w:val="Encabezado"/>
            <w:spacing w:line="256" w:lineRule="auto"/>
            <w:ind w:left="110"/>
            <w:rPr>
              <w:b/>
              <w:bCs/>
              <w:color w:val="000000"/>
              <w:sz w:val="17"/>
              <w:szCs w:val="17"/>
            </w:rPr>
          </w:pPr>
          <w:r>
            <w:rPr>
              <w:b/>
              <w:bCs/>
              <w:sz w:val="17"/>
              <w:szCs w:val="17"/>
            </w:rPr>
            <w:t>H. Congreso del Estado de Yucatán</w:t>
          </w:r>
        </w:p>
        <w:p w14:paraId="681C8DA1" w14:textId="77777777" w:rsidR="009E008C" w:rsidRDefault="009E008C" w:rsidP="009E008C">
          <w:pPr>
            <w:pStyle w:val="Encabezado"/>
            <w:spacing w:line="256" w:lineRule="auto"/>
            <w:ind w:left="110"/>
            <w:rPr>
              <w:sz w:val="17"/>
              <w:szCs w:val="17"/>
            </w:rPr>
          </w:pPr>
          <w:proofErr w:type="spellStart"/>
          <w:r>
            <w:rPr>
              <w:sz w:val="17"/>
              <w:szCs w:val="17"/>
            </w:rPr>
            <w:t>Secretaría</w:t>
          </w:r>
          <w:proofErr w:type="spellEnd"/>
          <w:r>
            <w:rPr>
              <w:sz w:val="17"/>
              <w:szCs w:val="17"/>
            </w:rPr>
            <w:t xml:space="preserve"> General del Poder </w:t>
          </w:r>
          <w:proofErr w:type="spellStart"/>
          <w:r>
            <w:rPr>
              <w:sz w:val="17"/>
              <w:szCs w:val="17"/>
            </w:rPr>
            <w:t>Legislativo</w:t>
          </w:r>
          <w:proofErr w:type="spellEnd"/>
        </w:p>
        <w:p w14:paraId="2A724037" w14:textId="77777777" w:rsidR="009E008C" w:rsidRDefault="009E008C" w:rsidP="009E008C">
          <w:pPr>
            <w:pStyle w:val="Encabezado"/>
            <w:ind w:left="-70"/>
            <w:rPr>
              <w:rFonts w:ascii="Arial Narrow" w:hAnsi="Arial Narrow" w:cs="Arial Narrow"/>
              <w:sz w:val="4"/>
              <w:szCs w:val="4"/>
            </w:rPr>
          </w:pPr>
        </w:p>
      </w:tc>
      <w:tc>
        <w:tcPr>
          <w:tcW w:w="4788" w:type="dxa"/>
        </w:tcPr>
        <w:p w14:paraId="7C1658F1" w14:textId="77777777" w:rsidR="009E008C" w:rsidRPr="001D52AB" w:rsidRDefault="009E008C" w:rsidP="009E008C">
          <w:pPr>
            <w:pStyle w:val="Encabezado"/>
            <w:ind w:left="-70"/>
            <w:jc w:val="right"/>
            <w:rPr>
              <w:i/>
              <w:iCs/>
              <w:sz w:val="18"/>
              <w:szCs w:val="18"/>
            </w:rPr>
          </w:pPr>
          <w:proofErr w:type="spellStart"/>
          <w:r>
            <w:rPr>
              <w:i/>
              <w:iCs/>
              <w:sz w:val="18"/>
              <w:szCs w:val="18"/>
            </w:rPr>
            <w:t>Publicación</w:t>
          </w:r>
          <w:proofErr w:type="spellEnd"/>
          <w:r>
            <w:rPr>
              <w:i/>
              <w:iCs/>
              <w:sz w:val="18"/>
              <w:szCs w:val="18"/>
            </w:rPr>
            <w:t xml:space="preserve"> </w:t>
          </w:r>
          <w:proofErr w:type="spellStart"/>
          <w:r>
            <w:rPr>
              <w:i/>
              <w:iCs/>
              <w:sz w:val="18"/>
              <w:szCs w:val="18"/>
            </w:rPr>
            <w:t>en</w:t>
          </w:r>
          <w:proofErr w:type="spellEnd"/>
          <w:r>
            <w:rPr>
              <w:i/>
              <w:iCs/>
              <w:sz w:val="18"/>
              <w:szCs w:val="18"/>
            </w:rPr>
            <w:t xml:space="preserve"> </w:t>
          </w:r>
          <w:proofErr w:type="spellStart"/>
          <w:proofErr w:type="gramStart"/>
          <w:r>
            <w:rPr>
              <w:i/>
              <w:iCs/>
              <w:sz w:val="18"/>
              <w:szCs w:val="18"/>
            </w:rPr>
            <w:t>el</w:t>
          </w:r>
          <w:proofErr w:type="spellEnd"/>
          <w:r>
            <w:rPr>
              <w:i/>
              <w:iCs/>
              <w:sz w:val="18"/>
              <w:szCs w:val="18"/>
            </w:rPr>
            <w:t xml:space="preserve"> </w:t>
          </w:r>
          <w:r w:rsidRPr="001D52AB">
            <w:rPr>
              <w:i/>
              <w:iCs/>
              <w:sz w:val="18"/>
              <w:szCs w:val="18"/>
            </w:rPr>
            <w:t xml:space="preserve"> D.O</w:t>
          </w:r>
          <w:r>
            <w:rPr>
              <w:i/>
              <w:iCs/>
              <w:sz w:val="18"/>
              <w:szCs w:val="18"/>
            </w:rPr>
            <w:t>.</w:t>
          </w:r>
          <w:proofErr w:type="gramEnd"/>
          <w:r w:rsidRPr="001D52AB">
            <w:rPr>
              <w:i/>
              <w:iCs/>
              <w:sz w:val="18"/>
              <w:szCs w:val="18"/>
            </w:rPr>
            <w:t xml:space="preserve"> </w:t>
          </w:r>
          <w:r>
            <w:rPr>
              <w:i/>
              <w:iCs/>
              <w:sz w:val="18"/>
              <w:szCs w:val="18"/>
            </w:rPr>
            <w:t xml:space="preserve">28 </w:t>
          </w:r>
          <w:r w:rsidRPr="001D52AB">
            <w:rPr>
              <w:i/>
              <w:iCs/>
              <w:sz w:val="18"/>
              <w:szCs w:val="18"/>
            </w:rPr>
            <w:t xml:space="preserve">de </w:t>
          </w:r>
          <w:proofErr w:type="spellStart"/>
          <w:r>
            <w:rPr>
              <w:i/>
              <w:iCs/>
              <w:sz w:val="18"/>
              <w:szCs w:val="18"/>
            </w:rPr>
            <w:t>Diciembre</w:t>
          </w:r>
          <w:proofErr w:type="spellEnd"/>
          <w:r w:rsidRPr="001D52AB">
            <w:rPr>
              <w:i/>
              <w:iCs/>
              <w:sz w:val="18"/>
              <w:szCs w:val="18"/>
            </w:rPr>
            <w:t xml:space="preserve"> </w:t>
          </w:r>
          <w:r>
            <w:rPr>
              <w:i/>
              <w:iCs/>
              <w:sz w:val="18"/>
              <w:szCs w:val="18"/>
            </w:rPr>
            <w:t>2020</w:t>
          </w:r>
        </w:p>
      </w:tc>
    </w:tr>
  </w:tbl>
  <w:p w14:paraId="5803BF31" w14:textId="77777777" w:rsidR="009E008C" w:rsidRDefault="009E008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05" w:type="dxa"/>
      <w:tblLayout w:type="fixed"/>
      <w:tblCellMar>
        <w:left w:w="70" w:type="dxa"/>
        <w:right w:w="70" w:type="dxa"/>
      </w:tblCellMar>
      <w:tblLook w:val="0000" w:firstRow="0" w:lastRow="0" w:firstColumn="0" w:lastColumn="0" w:noHBand="0" w:noVBand="0"/>
    </w:tblPr>
    <w:tblGrid>
      <w:gridCol w:w="1260"/>
      <w:gridCol w:w="4212"/>
      <w:gridCol w:w="4788"/>
    </w:tblGrid>
    <w:tr w:rsidR="009E008C" w14:paraId="3C1C5B8E" w14:textId="77777777" w:rsidTr="009E008C">
      <w:trPr>
        <w:cantSplit/>
        <w:trHeight w:val="329"/>
      </w:trPr>
      <w:tc>
        <w:tcPr>
          <w:tcW w:w="1260" w:type="dxa"/>
          <w:vMerge w:val="restart"/>
          <w:vAlign w:val="center"/>
        </w:tcPr>
        <w:p w14:paraId="70D17ACE" w14:textId="77777777" w:rsidR="009E008C" w:rsidRDefault="009E008C" w:rsidP="009E008C">
          <w:pPr>
            <w:pStyle w:val="Encabezado"/>
            <w:rPr>
              <w:rFonts w:ascii="CG Omega" w:hAnsi="CG Omega" w:cs="CG Omega"/>
              <w:sz w:val="16"/>
              <w:szCs w:val="16"/>
            </w:rPr>
          </w:pPr>
          <w:r w:rsidRPr="00385D64">
            <w:rPr>
              <w:rFonts w:ascii="CG Omega" w:hAnsi="CG Omega" w:cs="CG Omega"/>
              <w:sz w:val="16"/>
              <w:szCs w:val="16"/>
            </w:rPr>
            <w:object w:dxaOrig="1126" w:dyaOrig="1066" w14:anchorId="471AF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7pt;height:51.3pt">
                <v:imagedata r:id="rId1" o:title=""/>
              </v:shape>
              <o:OLEObject Type="Embed" ProgID="Word.Picture.8" ShapeID="_x0000_i1028" DrawAspect="Content" ObjectID="_1766234316" r:id="rId2"/>
            </w:object>
          </w:r>
        </w:p>
      </w:tc>
      <w:tc>
        <w:tcPr>
          <w:tcW w:w="9000" w:type="dxa"/>
          <w:gridSpan w:val="2"/>
          <w:tcBorders>
            <w:bottom w:val="double" w:sz="4" w:space="0" w:color="auto"/>
          </w:tcBorders>
          <w:vAlign w:val="bottom"/>
        </w:tcPr>
        <w:p w14:paraId="2F61202E" w14:textId="682776DC" w:rsidR="009E008C" w:rsidRDefault="009E008C" w:rsidP="00553A5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DE </w:t>
          </w:r>
          <w:r w:rsidR="00553A55">
            <w:rPr>
              <w:rFonts w:ascii="Franklin Gothic Medium" w:hAnsi="Franklin Gothic Medium" w:cs="Franklin Gothic Medium"/>
              <w:b/>
              <w:bCs/>
              <w:sz w:val="18"/>
              <w:szCs w:val="18"/>
            </w:rPr>
            <w:t>HUNUCMÁ</w:t>
          </w:r>
          <w:r>
            <w:rPr>
              <w:rFonts w:ascii="Franklin Gothic Medium" w:hAnsi="Franklin Gothic Medium" w:cs="Franklin Gothic Medium"/>
              <w:b/>
              <w:bCs/>
              <w:sz w:val="18"/>
              <w:szCs w:val="18"/>
            </w:rPr>
            <w:t>, YUCATÁN</w:t>
          </w:r>
        </w:p>
      </w:tc>
    </w:tr>
    <w:tr w:rsidR="009E008C" w14:paraId="32E3B43F" w14:textId="77777777" w:rsidTr="009E008C">
      <w:trPr>
        <w:cantSplit/>
        <w:trHeight w:val="49"/>
      </w:trPr>
      <w:tc>
        <w:tcPr>
          <w:tcW w:w="1260" w:type="dxa"/>
          <w:vMerge/>
        </w:tcPr>
        <w:p w14:paraId="26F11E12" w14:textId="77777777" w:rsidR="009E008C" w:rsidRDefault="009E008C" w:rsidP="009E008C">
          <w:pPr>
            <w:pStyle w:val="Encabezado"/>
            <w:rPr>
              <w:rFonts w:ascii="CG Omega" w:hAnsi="CG Omega" w:cs="CG Omega"/>
              <w:sz w:val="16"/>
              <w:szCs w:val="16"/>
            </w:rPr>
          </w:pPr>
        </w:p>
      </w:tc>
      <w:tc>
        <w:tcPr>
          <w:tcW w:w="9000" w:type="dxa"/>
          <w:gridSpan w:val="2"/>
          <w:tcBorders>
            <w:top w:val="double" w:sz="4" w:space="0" w:color="auto"/>
          </w:tcBorders>
        </w:tcPr>
        <w:p w14:paraId="0B1B56F5" w14:textId="77777777" w:rsidR="009E008C" w:rsidRDefault="009E008C" w:rsidP="009E008C">
          <w:pPr>
            <w:pStyle w:val="Encabezado"/>
            <w:ind w:left="-70"/>
            <w:jc w:val="right"/>
            <w:rPr>
              <w:rFonts w:ascii="Arial Narrow" w:hAnsi="Arial Narrow" w:cs="Arial Narrow"/>
              <w:sz w:val="4"/>
              <w:szCs w:val="4"/>
            </w:rPr>
          </w:pPr>
        </w:p>
      </w:tc>
    </w:tr>
    <w:tr w:rsidR="009E008C" w14:paraId="40B8016C" w14:textId="77777777" w:rsidTr="009E008C">
      <w:trPr>
        <w:cantSplit/>
        <w:trHeight w:val="291"/>
      </w:trPr>
      <w:tc>
        <w:tcPr>
          <w:tcW w:w="1260" w:type="dxa"/>
          <w:vMerge/>
        </w:tcPr>
        <w:p w14:paraId="6486940D" w14:textId="77777777" w:rsidR="009E008C" w:rsidRDefault="009E008C" w:rsidP="009E008C">
          <w:pPr>
            <w:pStyle w:val="Encabezado"/>
            <w:rPr>
              <w:rFonts w:ascii="CG Omega" w:hAnsi="CG Omega" w:cs="CG Omega"/>
              <w:sz w:val="16"/>
              <w:szCs w:val="16"/>
            </w:rPr>
          </w:pPr>
        </w:p>
      </w:tc>
      <w:tc>
        <w:tcPr>
          <w:tcW w:w="4212" w:type="dxa"/>
        </w:tcPr>
        <w:p w14:paraId="19EA9549" w14:textId="77777777" w:rsidR="009E008C" w:rsidRPr="004048C7" w:rsidRDefault="009E008C" w:rsidP="009E008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015F600" w14:textId="77777777" w:rsidR="003B0523" w:rsidRDefault="003B0523" w:rsidP="003B0523">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w:t>
          </w:r>
        </w:p>
        <w:p w14:paraId="2A7E6D0D" w14:textId="77777777" w:rsidR="009E008C" w:rsidRPr="004048C7" w:rsidRDefault="009E008C" w:rsidP="009E008C">
          <w:pPr>
            <w:pStyle w:val="Encabezado"/>
            <w:ind w:left="110"/>
            <w:rPr>
              <w:rFonts w:ascii="Arial" w:hAnsi="Arial" w:cs="Arial"/>
              <w:sz w:val="17"/>
              <w:szCs w:val="17"/>
            </w:rPr>
          </w:pPr>
          <w:r w:rsidRPr="004048C7">
            <w:rPr>
              <w:rFonts w:ascii="Arial" w:hAnsi="Arial" w:cs="Arial"/>
              <w:sz w:val="17"/>
              <w:szCs w:val="17"/>
            </w:rPr>
            <w:t xml:space="preserve">Unidad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Técnico-</w:t>
          </w:r>
          <w:proofErr w:type="spellStart"/>
          <w:r w:rsidRPr="004048C7">
            <w:rPr>
              <w:rFonts w:ascii="Arial" w:hAnsi="Arial" w:cs="Arial"/>
              <w:sz w:val="17"/>
              <w:szCs w:val="17"/>
            </w:rPr>
            <w:t>Legislativos</w:t>
          </w:r>
          <w:proofErr w:type="spellEnd"/>
        </w:p>
        <w:p w14:paraId="4F2A4B30" w14:textId="77777777" w:rsidR="009E008C" w:rsidRDefault="009E008C" w:rsidP="009E008C">
          <w:pPr>
            <w:pStyle w:val="Encabezado"/>
            <w:ind w:left="-70"/>
            <w:rPr>
              <w:rFonts w:ascii="Arial Narrow" w:hAnsi="Arial Narrow" w:cs="Arial Narrow"/>
              <w:sz w:val="4"/>
              <w:szCs w:val="4"/>
            </w:rPr>
          </w:pPr>
        </w:p>
      </w:tc>
      <w:tc>
        <w:tcPr>
          <w:tcW w:w="4788" w:type="dxa"/>
        </w:tcPr>
        <w:p w14:paraId="24934482" w14:textId="55B010F6" w:rsidR="009E008C" w:rsidRPr="001D52AB" w:rsidRDefault="009E008C" w:rsidP="009E008C">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proofErr w:type="gram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proofErr w:type="gramEnd"/>
          <w:r>
            <w:rPr>
              <w:rFonts w:ascii="Arial" w:hAnsi="Arial" w:cs="Arial"/>
              <w:i/>
              <w:iCs/>
              <w:sz w:val="18"/>
              <w:szCs w:val="18"/>
            </w:rPr>
            <w:t xml:space="preserve"> </w:t>
          </w:r>
          <w:proofErr w:type="spellStart"/>
          <w:r>
            <w:rPr>
              <w:rFonts w:ascii="Arial" w:hAnsi="Arial" w:cs="Arial"/>
              <w:i/>
              <w:iCs/>
              <w:sz w:val="18"/>
              <w:szCs w:val="18"/>
            </w:rPr>
            <w:t>el</w:t>
          </w:r>
          <w:proofErr w:type="spellEnd"/>
          <w:r>
            <w:rPr>
              <w:rFonts w:ascii="Arial" w:hAnsi="Arial" w:cs="Arial"/>
              <w:i/>
              <w:iCs/>
              <w:sz w:val="18"/>
              <w:szCs w:val="18"/>
            </w:rPr>
            <w:t xml:space="preserve"> D.O.</w:t>
          </w:r>
          <w:r w:rsidRPr="001D52AB">
            <w:rPr>
              <w:rFonts w:ascii="Arial" w:hAnsi="Arial" w:cs="Arial"/>
              <w:i/>
              <w:iCs/>
              <w:sz w:val="18"/>
              <w:szCs w:val="18"/>
            </w:rPr>
            <w:t xml:space="preserve"> </w:t>
          </w:r>
          <w:r>
            <w:rPr>
              <w:rFonts w:ascii="Arial" w:hAnsi="Arial" w:cs="Arial"/>
              <w:i/>
              <w:iCs/>
              <w:sz w:val="18"/>
              <w:szCs w:val="18"/>
            </w:rPr>
            <w:t xml:space="preserve">29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20</w:t>
          </w:r>
          <w:r>
            <w:rPr>
              <w:rFonts w:ascii="Arial" w:hAnsi="Arial" w:cs="Arial"/>
              <w:i/>
              <w:iCs/>
              <w:sz w:val="18"/>
              <w:szCs w:val="18"/>
            </w:rPr>
            <w:t>23</w:t>
          </w:r>
        </w:p>
      </w:tc>
    </w:tr>
  </w:tbl>
  <w:p w14:paraId="6AA2982A" w14:textId="7B1F6CB1" w:rsidR="009E008C" w:rsidRDefault="009E0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6B0D64"/>
    <w:multiLevelType w:val="hybridMultilevel"/>
    <w:tmpl w:val="0D9A1066"/>
    <w:lvl w:ilvl="0" w:tplc="228CC17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73541077">
    <w:abstractNumId w:val="4"/>
  </w:num>
  <w:num w:numId="2" w16cid:durableId="969212679">
    <w:abstractNumId w:val="1"/>
  </w:num>
  <w:num w:numId="3" w16cid:durableId="959266597">
    <w:abstractNumId w:val="0"/>
  </w:num>
  <w:num w:numId="4" w16cid:durableId="779300193">
    <w:abstractNumId w:val="2"/>
  </w:num>
  <w:num w:numId="5" w16cid:durableId="9232996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A0"/>
    <w:rsid w:val="00002BDA"/>
    <w:rsid w:val="00003FB3"/>
    <w:rsid w:val="00010398"/>
    <w:rsid w:val="00010A20"/>
    <w:rsid w:val="00012E23"/>
    <w:rsid w:val="00021B45"/>
    <w:rsid w:val="000247E3"/>
    <w:rsid w:val="00027F7C"/>
    <w:rsid w:val="000310A4"/>
    <w:rsid w:val="000319BE"/>
    <w:rsid w:val="000441EC"/>
    <w:rsid w:val="000455EA"/>
    <w:rsid w:val="000516B3"/>
    <w:rsid w:val="0005283A"/>
    <w:rsid w:val="00054177"/>
    <w:rsid w:val="000548E8"/>
    <w:rsid w:val="00056B9C"/>
    <w:rsid w:val="0005725F"/>
    <w:rsid w:val="0006385E"/>
    <w:rsid w:val="000651A6"/>
    <w:rsid w:val="000668A9"/>
    <w:rsid w:val="00070CBC"/>
    <w:rsid w:val="000820A2"/>
    <w:rsid w:val="000823B9"/>
    <w:rsid w:val="00087932"/>
    <w:rsid w:val="00090408"/>
    <w:rsid w:val="000919EE"/>
    <w:rsid w:val="00091BEB"/>
    <w:rsid w:val="00093C3A"/>
    <w:rsid w:val="00094A9D"/>
    <w:rsid w:val="000962B2"/>
    <w:rsid w:val="00096634"/>
    <w:rsid w:val="000A28B0"/>
    <w:rsid w:val="000A2EA2"/>
    <w:rsid w:val="000A36A0"/>
    <w:rsid w:val="000A5439"/>
    <w:rsid w:val="000B0874"/>
    <w:rsid w:val="000B323E"/>
    <w:rsid w:val="000B3956"/>
    <w:rsid w:val="000B4633"/>
    <w:rsid w:val="000B599C"/>
    <w:rsid w:val="000C4962"/>
    <w:rsid w:val="000C5461"/>
    <w:rsid w:val="000D1FB9"/>
    <w:rsid w:val="000D27DB"/>
    <w:rsid w:val="000D445B"/>
    <w:rsid w:val="000E2F8E"/>
    <w:rsid w:val="000E7CC3"/>
    <w:rsid w:val="000F3B7E"/>
    <w:rsid w:val="000F744B"/>
    <w:rsid w:val="00103867"/>
    <w:rsid w:val="001102AF"/>
    <w:rsid w:val="001107DD"/>
    <w:rsid w:val="001153CE"/>
    <w:rsid w:val="00124121"/>
    <w:rsid w:val="00125DE0"/>
    <w:rsid w:val="001327D9"/>
    <w:rsid w:val="00137892"/>
    <w:rsid w:val="00141A31"/>
    <w:rsid w:val="0014490D"/>
    <w:rsid w:val="00146258"/>
    <w:rsid w:val="0014715A"/>
    <w:rsid w:val="00147EE6"/>
    <w:rsid w:val="0015367D"/>
    <w:rsid w:val="00157A11"/>
    <w:rsid w:val="00157CB8"/>
    <w:rsid w:val="00160C31"/>
    <w:rsid w:val="00165D79"/>
    <w:rsid w:val="00173BAD"/>
    <w:rsid w:val="00181B4E"/>
    <w:rsid w:val="00181DDB"/>
    <w:rsid w:val="00186810"/>
    <w:rsid w:val="00195360"/>
    <w:rsid w:val="001A285C"/>
    <w:rsid w:val="001A7C88"/>
    <w:rsid w:val="001B03CB"/>
    <w:rsid w:val="001B307C"/>
    <w:rsid w:val="001B5280"/>
    <w:rsid w:val="001B568E"/>
    <w:rsid w:val="001B6FC0"/>
    <w:rsid w:val="001C0AF1"/>
    <w:rsid w:val="001C1C67"/>
    <w:rsid w:val="001C1E32"/>
    <w:rsid w:val="001C2FC2"/>
    <w:rsid w:val="001C3890"/>
    <w:rsid w:val="001C4371"/>
    <w:rsid w:val="001C68B7"/>
    <w:rsid w:val="001C6E7B"/>
    <w:rsid w:val="001C7127"/>
    <w:rsid w:val="001D48DF"/>
    <w:rsid w:val="001E0E6A"/>
    <w:rsid w:val="001E5E83"/>
    <w:rsid w:val="001E683C"/>
    <w:rsid w:val="001E7E0D"/>
    <w:rsid w:val="001F1BE9"/>
    <w:rsid w:val="001F244C"/>
    <w:rsid w:val="001F3AE3"/>
    <w:rsid w:val="002010E8"/>
    <w:rsid w:val="002016D2"/>
    <w:rsid w:val="00202869"/>
    <w:rsid w:val="00203400"/>
    <w:rsid w:val="00210580"/>
    <w:rsid w:val="00210739"/>
    <w:rsid w:val="002111CC"/>
    <w:rsid w:val="00212471"/>
    <w:rsid w:val="002134F6"/>
    <w:rsid w:val="0021374E"/>
    <w:rsid w:val="00215DE8"/>
    <w:rsid w:val="00217107"/>
    <w:rsid w:val="00217D88"/>
    <w:rsid w:val="002222D9"/>
    <w:rsid w:val="00227D9F"/>
    <w:rsid w:val="002301BF"/>
    <w:rsid w:val="00230E60"/>
    <w:rsid w:val="002316B4"/>
    <w:rsid w:val="00232845"/>
    <w:rsid w:val="002337ED"/>
    <w:rsid w:val="00234448"/>
    <w:rsid w:val="00235AB1"/>
    <w:rsid w:val="002374C5"/>
    <w:rsid w:val="00237AEC"/>
    <w:rsid w:val="00242941"/>
    <w:rsid w:val="002475C5"/>
    <w:rsid w:val="00247CD4"/>
    <w:rsid w:val="00247EB1"/>
    <w:rsid w:val="00251059"/>
    <w:rsid w:val="00251413"/>
    <w:rsid w:val="002523EB"/>
    <w:rsid w:val="0025299D"/>
    <w:rsid w:val="00253B3C"/>
    <w:rsid w:val="002540C8"/>
    <w:rsid w:val="00254E24"/>
    <w:rsid w:val="002622D4"/>
    <w:rsid w:val="00262AB2"/>
    <w:rsid w:val="0026591F"/>
    <w:rsid w:val="002667C5"/>
    <w:rsid w:val="002710B5"/>
    <w:rsid w:val="002715ED"/>
    <w:rsid w:val="002715FD"/>
    <w:rsid w:val="002746CE"/>
    <w:rsid w:val="002767BB"/>
    <w:rsid w:val="00277D15"/>
    <w:rsid w:val="00282117"/>
    <w:rsid w:val="002833AF"/>
    <w:rsid w:val="00287F4B"/>
    <w:rsid w:val="00287F51"/>
    <w:rsid w:val="00291C0B"/>
    <w:rsid w:val="00296E2D"/>
    <w:rsid w:val="0029716C"/>
    <w:rsid w:val="002A7324"/>
    <w:rsid w:val="002B26E2"/>
    <w:rsid w:val="002B2B53"/>
    <w:rsid w:val="002B2F49"/>
    <w:rsid w:val="002B6E20"/>
    <w:rsid w:val="002C58C4"/>
    <w:rsid w:val="002D4F1F"/>
    <w:rsid w:val="002E007A"/>
    <w:rsid w:val="002E4ECD"/>
    <w:rsid w:val="002E6482"/>
    <w:rsid w:val="002E6A18"/>
    <w:rsid w:val="002F292B"/>
    <w:rsid w:val="002F2D94"/>
    <w:rsid w:val="002F4232"/>
    <w:rsid w:val="002F5EBC"/>
    <w:rsid w:val="002F6FA8"/>
    <w:rsid w:val="00302096"/>
    <w:rsid w:val="00302BDC"/>
    <w:rsid w:val="00302F14"/>
    <w:rsid w:val="00306B10"/>
    <w:rsid w:val="0031406A"/>
    <w:rsid w:val="00323C98"/>
    <w:rsid w:val="0032614A"/>
    <w:rsid w:val="0033094A"/>
    <w:rsid w:val="003318BE"/>
    <w:rsid w:val="003346AD"/>
    <w:rsid w:val="003347CC"/>
    <w:rsid w:val="00334848"/>
    <w:rsid w:val="00336DA8"/>
    <w:rsid w:val="0034120A"/>
    <w:rsid w:val="00341737"/>
    <w:rsid w:val="00356051"/>
    <w:rsid w:val="00364D70"/>
    <w:rsid w:val="003651B7"/>
    <w:rsid w:val="00370E48"/>
    <w:rsid w:val="0037129B"/>
    <w:rsid w:val="00371F36"/>
    <w:rsid w:val="00375406"/>
    <w:rsid w:val="00375E8E"/>
    <w:rsid w:val="00387D26"/>
    <w:rsid w:val="0039060F"/>
    <w:rsid w:val="003929AB"/>
    <w:rsid w:val="003930D9"/>
    <w:rsid w:val="00396482"/>
    <w:rsid w:val="00397463"/>
    <w:rsid w:val="003A072D"/>
    <w:rsid w:val="003A1153"/>
    <w:rsid w:val="003A14C8"/>
    <w:rsid w:val="003A163F"/>
    <w:rsid w:val="003A19FC"/>
    <w:rsid w:val="003A3865"/>
    <w:rsid w:val="003B04AD"/>
    <w:rsid w:val="003B0523"/>
    <w:rsid w:val="003B10B0"/>
    <w:rsid w:val="003B4312"/>
    <w:rsid w:val="003B7A35"/>
    <w:rsid w:val="003C0824"/>
    <w:rsid w:val="003C75B5"/>
    <w:rsid w:val="003D2200"/>
    <w:rsid w:val="003D5918"/>
    <w:rsid w:val="003E32BD"/>
    <w:rsid w:val="003F2113"/>
    <w:rsid w:val="003F2538"/>
    <w:rsid w:val="003F2AC8"/>
    <w:rsid w:val="003F2B99"/>
    <w:rsid w:val="003F4639"/>
    <w:rsid w:val="003F4CF8"/>
    <w:rsid w:val="003F728F"/>
    <w:rsid w:val="00400559"/>
    <w:rsid w:val="00401FC5"/>
    <w:rsid w:val="004025A5"/>
    <w:rsid w:val="004040DF"/>
    <w:rsid w:val="0040581C"/>
    <w:rsid w:val="00406932"/>
    <w:rsid w:val="0040798E"/>
    <w:rsid w:val="0041183A"/>
    <w:rsid w:val="004145F4"/>
    <w:rsid w:val="004164BD"/>
    <w:rsid w:val="00417D74"/>
    <w:rsid w:val="004221EC"/>
    <w:rsid w:val="00425A04"/>
    <w:rsid w:val="004301DA"/>
    <w:rsid w:val="004378FB"/>
    <w:rsid w:val="00437ECB"/>
    <w:rsid w:val="0044019E"/>
    <w:rsid w:val="0044281C"/>
    <w:rsid w:val="00445B4F"/>
    <w:rsid w:val="00451146"/>
    <w:rsid w:val="00452474"/>
    <w:rsid w:val="004526D3"/>
    <w:rsid w:val="0045737C"/>
    <w:rsid w:val="00457816"/>
    <w:rsid w:val="00457C29"/>
    <w:rsid w:val="00460D1A"/>
    <w:rsid w:val="004670CD"/>
    <w:rsid w:val="00470E0B"/>
    <w:rsid w:val="00471D6A"/>
    <w:rsid w:val="00480669"/>
    <w:rsid w:val="0048092F"/>
    <w:rsid w:val="00483C69"/>
    <w:rsid w:val="0048456F"/>
    <w:rsid w:val="00485767"/>
    <w:rsid w:val="00487689"/>
    <w:rsid w:val="004902D7"/>
    <w:rsid w:val="00492C1D"/>
    <w:rsid w:val="00493116"/>
    <w:rsid w:val="004A08D4"/>
    <w:rsid w:val="004A0B17"/>
    <w:rsid w:val="004A1EE8"/>
    <w:rsid w:val="004A4EA1"/>
    <w:rsid w:val="004B2F32"/>
    <w:rsid w:val="004B46DF"/>
    <w:rsid w:val="004B5CB1"/>
    <w:rsid w:val="004B5EE4"/>
    <w:rsid w:val="004B689A"/>
    <w:rsid w:val="004C4AD1"/>
    <w:rsid w:val="004C6659"/>
    <w:rsid w:val="004D2072"/>
    <w:rsid w:val="004D56C4"/>
    <w:rsid w:val="004D60D7"/>
    <w:rsid w:val="004E0269"/>
    <w:rsid w:val="004E4359"/>
    <w:rsid w:val="004E4B19"/>
    <w:rsid w:val="004E693D"/>
    <w:rsid w:val="004F0784"/>
    <w:rsid w:val="004F1072"/>
    <w:rsid w:val="004F1CB5"/>
    <w:rsid w:val="004F6D80"/>
    <w:rsid w:val="00501911"/>
    <w:rsid w:val="00506F01"/>
    <w:rsid w:val="0050740D"/>
    <w:rsid w:val="00511C81"/>
    <w:rsid w:val="00512387"/>
    <w:rsid w:val="00512AB1"/>
    <w:rsid w:val="00513E32"/>
    <w:rsid w:val="00515C2C"/>
    <w:rsid w:val="005177E2"/>
    <w:rsid w:val="00521E74"/>
    <w:rsid w:val="0052371A"/>
    <w:rsid w:val="00525A06"/>
    <w:rsid w:val="00525B39"/>
    <w:rsid w:val="00526205"/>
    <w:rsid w:val="005429EA"/>
    <w:rsid w:val="00542D72"/>
    <w:rsid w:val="005443A6"/>
    <w:rsid w:val="00544ECC"/>
    <w:rsid w:val="0054691E"/>
    <w:rsid w:val="0055083E"/>
    <w:rsid w:val="00551051"/>
    <w:rsid w:val="00553989"/>
    <w:rsid w:val="00553A55"/>
    <w:rsid w:val="005546B6"/>
    <w:rsid w:val="005551C8"/>
    <w:rsid w:val="00557D28"/>
    <w:rsid w:val="00560BCC"/>
    <w:rsid w:val="00561CD1"/>
    <w:rsid w:val="00563963"/>
    <w:rsid w:val="0056523F"/>
    <w:rsid w:val="005709F3"/>
    <w:rsid w:val="00572721"/>
    <w:rsid w:val="005769B0"/>
    <w:rsid w:val="005772C6"/>
    <w:rsid w:val="00583826"/>
    <w:rsid w:val="005905A1"/>
    <w:rsid w:val="00594E44"/>
    <w:rsid w:val="005A048A"/>
    <w:rsid w:val="005A102B"/>
    <w:rsid w:val="005A7985"/>
    <w:rsid w:val="005B0082"/>
    <w:rsid w:val="005B0D13"/>
    <w:rsid w:val="005C0FE7"/>
    <w:rsid w:val="005C3179"/>
    <w:rsid w:val="005C71A8"/>
    <w:rsid w:val="005D5DC3"/>
    <w:rsid w:val="005E04E6"/>
    <w:rsid w:val="005E119F"/>
    <w:rsid w:val="005E189E"/>
    <w:rsid w:val="005E3075"/>
    <w:rsid w:val="005E33DC"/>
    <w:rsid w:val="005F0C78"/>
    <w:rsid w:val="005F4F6E"/>
    <w:rsid w:val="005F6C71"/>
    <w:rsid w:val="00615F48"/>
    <w:rsid w:val="0061621C"/>
    <w:rsid w:val="00626604"/>
    <w:rsid w:val="00627C02"/>
    <w:rsid w:val="00631C0C"/>
    <w:rsid w:val="006330A7"/>
    <w:rsid w:val="00635504"/>
    <w:rsid w:val="006427F8"/>
    <w:rsid w:val="00642848"/>
    <w:rsid w:val="0064395E"/>
    <w:rsid w:val="006447C7"/>
    <w:rsid w:val="00645967"/>
    <w:rsid w:val="00646D29"/>
    <w:rsid w:val="0065174B"/>
    <w:rsid w:val="00651DFD"/>
    <w:rsid w:val="00662289"/>
    <w:rsid w:val="0066347F"/>
    <w:rsid w:val="006637F2"/>
    <w:rsid w:val="00663994"/>
    <w:rsid w:val="00664B3F"/>
    <w:rsid w:val="00666B88"/>
    <w:rsid w:val="006671BE"/>
    <w:rsid w:val="00683668"/>
    <w:rsid w:val="00686126"/>
    <w:rsid w:val="00687842"/>
    <w:rsid w:val="00690819"/>
    <w:rsid w:val="00694EDF"/>
    <w:rsid w:val="00695D7B"/>
    <w:rsid w:val="00695E1D"/>
    <w:rsid w:val="00697E94"/>
    <w:rsid w:val="006A1DB7"/>
    <w:rsid w:val="006A22C1"/>
    <w:rsid w:val="006B0290"/>
    <w:rsid w:val="006B2B4F"/>
    <w:rsid w:val="006C108A"/>
    <w:rsid w:val="006C2CD7"/>
    <w:rsid w:val="006D10D6"/>
    <w:rsid w:val="006D154A"/>
    <w:rsid w:val="006D40B9"/>
    <w:rsid w:val="006D4F6D"/>
    <w:rsid w:val="006E14C0"/>
    <w:rsid w:val="006E2E65"/>
    <w:rsid w:val="006E4790"/>
    <w:rsid w:val="00704EFD"/>
    <w:rsid w:val="007076AC"/>
    <w:rsid w:val="0070787F"/>
    <w:rsid w:val="00707B64"/>
    <w:rsid w:val="0071432A"/>
    <w:rsid w:val="00723897"/>
    <w:rsid w:val="007332EA"/>
    <w:rsid w:val="00737724"/>
    <w:rsid w:val="00740A3E"/>
    <w:rsid w:val="00744FDC"/>
    <w:rsid w:val="00747B7F"/>
    <w:rsid w:val="0075764E"/>
    <w:rsid w:val="00761669"/>
    <w:rsid w:val="00772601"/>
    <w:rsid w:val="00776B3A"/>
    <w:rsid w:val="00777BC5"/>
    <w:rsid w:val="00780CDA"/>
    <w:rsid w:val="007855F0"/>
    <w:rsid w:val="00787427"/>
    <w:rsid w:val="007926EF"/>
    <w:rsid w:val="0079544B"/>
    <w:rsid w:val="007A066B"/>
    <w:rsid w:val="007A06D8"/>
    <w:rsid w:val="007A0F09"/>
    <w:rsid w:val="007A22A3"/>
    <w:rsid w:val="007B4036"/>
    <w:rsid w:val="007B4AB7"/>
    <w:rsid w:val="007B5597"/>
    <w:rsid w:val="007C1CB0"/>
    <w:rsid w:val="007C2D70"/>
    <w:rsid w:val="007C5F3E"/>
    <w:rsid w:val="007D01CD"/>
    <w:rsid w:val="007D270A"/>
    <w:rsid w:val="007E65B9"/>
    <w:rsid w:val="007E7ED6"/>
    <w:rsid w:val="007F17B4"/>
    <w:rsid w:val="007F2471"/>
    <w:rsid w:val="007F59EA"/>
    <w:rsid w:val="007F6D48"/>
    <w:rsid w:val="008054CB"/>
    <w:rsid w:val="00806175"/>
    <w:rsid w:val="00812D12"/>
    <w:rsid w:val="00814B51"/>
    <w:rsid w:val="00820688"/>
    <w:rsid w:val="008251F7"/>
    <w:rsid w:val="008311A6"/>
    <w:rsid w:val="00832F19"/>
    <w:rsid w:val="008340BF"/>
    <w:rsid w:val="00841306"/>
    <w:rsid w:val="00841659"/>
    <w:rsid w:val="00843412"/>
    <w:rsid w:val="00843BEB"/>
    <w:rsid w:val="00845D3C"/>
    <w:rsid w:val="00852FF4"/>
    <w:rsid w:val="008540B2"/>
    <w:rsid w:val="008547DE"/>
    <w:rsid w:val="00855A39"/>
    <w:rsid w:val="00864EFA"/>
    <w:rsid w:val="00865ED9"/>
    <w:rsid w:val="0086605E"/>
    <w:rsid w:val="00867034"/>
    <w:rsid w:val="00867A99"/>
    <w:rsid w:val="00872D22"/>
    <w:rsid w:val="00873CDC"/>
    <w:rsid w:val="00873CFA"/>
    <w:rsid w:val="00887A11"/>
    <w:rsid w:val="00893BDE"/>
    <w:rsid w:val="0089678C"/>
    <w:rsid w:val="00897962"/>
    <w:rsid w:val="008A078E"/>
    <w:rsid w:val="008A27F5"/>
    <w:rsid w:val="008A4361"/>
    <w:rsid w:val="008A5FCF"/>
    <w:rsid w:val="008A6D0D"/>
    <w:rsid w:val="008A7063"/>
    <w:rsid w:val="008B0F39"/>
    <w:rsid w:val="008B114D"/>
    <w:rsid w:val="008B249D"/>
    <w:rsid w:val="008B2DAC"/>
    <w:rsid w:val="008B31CD"/>
    <w:rsid w:val="008B6EA5"/>
    <w:rsid w:val="008B7452"/>
    <w:rsid w:val="008C170A"/>
    <w:rsid w:val="008C4E48"/>
    <w:rsid w:val="008C5A9D"/>
    <w:rsid w:val="008C6255"/>
    <w:rsid w:val="008C79E5"/>
    <w:rsid w:val="008D13B4"/>
    <w:rsid w:val="008D2EE8"/>
    <w:rsid w:val="008D564E"/>
    <w:rsid w:val="008D71DB"/>
    <w:rsid w:val="008D7710"/>
    <w:rsid w:val="008E1DCD"/>
    <w:rsid w:val="008E3A1A"/>
    <w:rsid w:val="008E4195"/>
    <w:rsid w:val="008E6C41"/>
    <w:rsid w:val="008E7B60"/>
    <w:rsid w:val="008F0DF9"/>
    <w:rsid w:val="008F3A31"/>
    <w:rsid w:val="008F52F3"/>
    <w:rsid w:val="0090508B"/>
    <w:rsid w:val="00912119"/>
    <w:rsid w:val="00913451"/>
    <w:rsid w:val="00913714"/>
    <w:rsid w:val="009147C1"/>
    <w:rsid w:val="009241E6"/>
    <w:rsid w:val="009275E7"/>
    <w:rsid w:val="00930F65"/>
    <w:rsid w:val="00932866"/>
    <w:rsid w:val="009356B7"/>
    <w:rsid w:val="00935BC6"/>
    <w:rsid w:val="0094164A"/>
    <w:rsid w:val="009423D6"/>
    <w:rsid w:val="009430BA"/>
    <w:rsid w:val="00950F88"/>
    <w:rsid w:val="009515B5"/>
    <w:rsid w:val="009531C1"/>
    <w:rsid w:val="0095350C"/>
    <w:rsid w:val="00953E02"/>
    <w:rsid w:val="00955BB2"/>
    <w:rsid w:val="00963303"/>
    <w:rsid w:val="009637BB"/>
    <w:rsid w:val="00965762"/>
    <w:rsid w:val="009664E8"/>
    <w:rsid w:val="00966A64"/>
    <w:rsid w:val="00976BC6"/>
    <w:rsid w:val="0098037D"/>
    <w:rsid w:val="0098214D"/>
    <w:rsid w:val="00982E85"/>
    <w:rsid w:val="00983471"/>
    <w:rsid w:val="00990E87"/>
    <w:rsid w:val="00995B49"/>
    <w:rsid w:val="00995C2C"/>
    <w:rsid w:val="009B2201"/>
    <w:rsid w:val="009B33BC"/>
    <w:rsid w:val="009C051A"/>
    <w:rsid w:val="009C08CD"/>
    <w:rsid w:val="009C4E13"/>
    <w:rsid w:val="009D0C27"/>
    <w:rsid w:val="009D75D5"/>
    <w:rsid w:val="009E008C"/>
    <w:rsid w:val="009E1B3D"/>
    <w:rsid w:val="009E5EB8"/>
    <w:rsid w:val="009E68BA"/>
    <w:rsid w:val="009E7DFC"/>
    <w:rsid w:val="009F053A"/>
    <w:rsid w:val="009F2C30"/>
    <w:rsid w:val="009F7608"/>
    <w:rsid w:val="00A01721"/>
    <w:rsid w:val="00A022E8"/>
    <w:rsid w:val="00A0359F"/>
    <w:rsid w:val="00A04AFD"/>
    <w:rsid w:val="00A056E0"/>
    <w:rsid w:val="00A07EC2"/>
    <w:rsid w:val="00A134C3"/>
    <w:rsid w:val="00A14C98"/>
    <w:rsid w:val="00A16D05"/>
    <w:rsid w:val="00A16E88"/>
    <w:rsid w:val="00A2030E"/>
    <w:rsid w:val="00A23FFC"/>
    <w:rsid w:val="00A306CB"/>
    <w:rsid w:val="00A33CC3"/>
    <w:rsid w:val="00A36BF8"/>
    <w:rsid w:val="00A40A64"/>
    <w:rsid w:val="00A41E5A"/>
    <w:rsid w:val="00A428FA"/>
    <w:rsid w:val="00A4545E"/>
    <w:rsid w:val="00A556A6"/>
    <w:rsid w:val="00A55F77"/>
    <w:rsid w:val="00A6120C"/>
    <w:rsid w:val="00A61D5A"/>
    <w:rsid w:val="00A64249"/>
    <w:rsid w:val="00A64935"/>
    <w:rsid w:val="00A650CA"/>
    <w:rsid w:val="00A659B4"/>
    <w:rsid w:val="00A669D7"/>
    <w:rsid w:val="00A72FD6"/>
    <w:rsid w:val="00A76668"/>
    <w:rsid w:val="00A768C7"/>
    <w:rsid w:val="00A8019E"/>
    <w:rsid w:val="00A81BFC"/>
    <w:rsid w:val="00A8232F"/>
    <w:rsid w:val="00A936C3"/>
    <w:rsid w:val="00A97843"/>
    <w:rsid w:val="00AA028E"/>
    <w:rsid w:val="00AA2D84"/>
    <w:rsid w:val="00AA350F"/>
    <w:rsid w:val="00AA4ED1"/>
    <w:rsid w:val="00AA5A4D"/>
    <w:rsid w:val="00AB1A26"/>
    <w:rsid w:val="00AB5262"/>
    <w:rsid w:val="00AC0296"/>
    <w:rsid w:val="00AC09F0"/>
    <w:rsid w:val="00AC22F4"/>
    <w:rsid w:val="00AC41DD"/>
    <w:rsid w:val="00AC6E7B"/>
    <w:rsid w:val="00AD006D"/>
    <w:rsid w:val="00AD25E1"/>
    <w:rsid w:val="00AD3CBB"/>
    <w:rsid w:val="00AD52DB"/>
    <w:rsid w:val="00AF20AE"/>
    <w:rsid w:val="00B012F8"/>
    <w:rsid w:val="00B02230"/>
    <w:rsid w:val="00B034C9"/>
    <w:rsid w:val="00B14FDF"/>
    <w:rsid w:val="00B169CB"/>
    <w:rsid w:val="00B23FC9"/>
    <w:rsid w:val="00B2455D"/>
    <w:rsid w:val="00B34889"/>
    <w:rsid w:val="00B356E1"/>
    <w:rsid w:val="00B41B94"/>
    <w:rsid w:val="00B45CFB"/>
    <w:rsid w:val="00B55173"/>
    <w:rsid w:val="00B57627"/>
    <w:rsid w:val="00B62454"/>
    <w:rsid w:val="00B63362"/>
    <w:rsid w:val="00B63737"/>
    <w:rsid w:val="00B646B4"/>
    <w:rsid w:val="00B65D82"/>
    <w:rsid w:val="00B67838"/>
    <w:rsid w:val="00B7405B"/>
    <w:rsid w:val="00B74D96"/>
    <w:rsid w:val="00B774D0"/>
    <w:rsid w:val="00B82103"/>
    <w:rsid w:val="00B829D2"/>
    <w:rsid w:val="00B83459"/>
    <w:rsid w:val="00B841B9"/>
    <w:rsid w:val="00B84923"/>
    <w:rsid w:val="00B93BD5"/>
    <w:rsid w:val="00B94784"/>
    <w:rsid w:val="00B96F00"/>
    <w:rsid w:val="00BA0BA3"/>
    <w:rsid w:val="00BA0CBD"/>
    <w:rsid w:val="00BA2D0A"/>
    <w:rsid w:val="00BA37AF"/>
    <w:rsid w:val="00BB0599"/>
    <w:rsid w:val="00BB2B6C"/>
    <w:rsid w:val="00BC15B2"/>
    <w:rsid w:val="00BC4704"/>
    <w:rsid w:val="00BC6003"/>
    <w:rsid w:val="00BD383B"/>
    <w:rsid w:val="00BD6D3C"/>
    <w:rsid w:val="00BE03AC"/>
    <w:rsid w:val="00BE2DA2"/>
    <w:rsid w:val="00BE4E3B"/>
    <w:rsid w:val="00BF0AD0"/>
    <w:rsid w:val="00BF1849"/>
    <w:rsid w:val="00BF2920"/>
    <w:rsid w:val="00BF2EC3"/>
    <w:rsid w:val="00BF56D5"/>
    <w:rsid w:val="00C0159D"/>
    <w:rsid w:val="00C02BBB"/>
    <w:rsid w:val="00C051FD"/>
    <w:rsid w:val="00C05B3D"/>
    <w:rsid w:val="00C06991"/>
    <w:rsid w:val="00C10115"/>
    <w:rsid w:val="00C1522A"/>
    <w:rsid w:val="00C1653D"/>
    <w:rsid w:val="00C41EAB"/>
    <w:rsid w:val="00C465EF"/>
    <w:rsid w:val="00C46901"/>
    <w:rsid w:val="00C507B4"/>
    <w:rsid w:val="00C52682"/>
    <w:rsid w:val="00C53F7B"/>
    <w:rsid w:val="00C56373"/>
    <w:rsid w:val="00C64110"/>
    <w:rsid w:val="00C67098"/>
    <w:rsid w:val="00C715AE"/>
    <w:rsid w:val="00C7231E"/>
    <w:rsid w:val="00C76AD2"/>
    <w:rsid w:val="00C828A8"/>
    <w:rsid w:val="00C8360D"/>
    <w:rsid w:val="00C83790"/>
    <w:rsid w:val="00C857FF"/>
    <w:rsid w:val="00C85CBC"/>
    <w:rsid w:val="00C85CF6"/>
    <w:rsid w:val="00C913E2"/>
    <w:rsid w:val="00C91633"/>
    <w:rsid w:val="00C94415"/>
    <w:rsid w:val="00C94454"/>
    <w:rsid w:val="00C94F9A"/>
    <w:rsid w:val="00C970E0"/>
    <w:rsid w:val="00C97246"/>
    <w:rsid w:val="00CA140D"/>
    <w:rsid w:val="00CA4A15"/>
    <w:rsid w:val="00CB1192"/>
    <w:rsid w:val="00CB2B89"/>
    <w:rsid w:val="00CB32CD"/>
    <w:rsid w:val="00CB3C36"/>
    <w:rsid w:val="00CB4124"/>
    <w:rsid w:val="00CB4E03"/>
    <w:rsid w:val="00CB7D68"/>
    <w:rsid w:val="00CC3EC8"/>
    <w:rsid w:val="00CD624D"/>
    <w:rsid w:val="00CE0914"/>
    <w:rsid w:val="00CE0DF4"/>
    <w:rsid w:val="00CE345E"/>
    <w:rsid w:val="00CE40BB"/>
    <w:rsid w:val="00CF13EE"/>
    <w:rsid w:val="00CF7E05"/>
    <w:rsid w:val="00CF7E8B"/>
    <w:rsid w:val="00D001A7"/>
    <w:rsid w:val="00D03F3F"/>
    <w:rsid w:val="00D10CAF"/>
    <w:rsid w:val="00D20801"/>
    <w:rsid w:val="00D250E2"/>
    <w:rsid w:val="00D31368"/>
    <w:rsid w:val="00D32D37"/>
    <w:rsid w:val="00D335F9"/>
    <w:rsid w:val="00D36CD1"/>
    <w:rsid w:val="00D36DDF"/>
    <w:rsid w:val="00D43636"/>
    <w:rsid w:val="00D4375B"/>
    <w:rsid w:val="00D45980"/>
    <w:rsid w:val="00D45987"/>
    <w:rsid w:val="00D526B6"/>
    <w:rsid w:val="00D6100F"/>
    <w:rsid w:val="00D64964"/>
    <w:rsid w:val="00D75353"/>
    <w:rsid w:val="00D75CEF"/>
    <w:rsid w:val="00D815D0"/>
    <w:rsid w:val="00D817D0"/>
    <w:rsid w:val="00D81C9A"/>
    <w:rsid w:val="00D94BDD"/>
    <w:rsid w:val="00D9714D"/>
    <w:rsid w:val="00D97B39"/>
    <w:rsid w:val="00DA167E"/>
    <w:rsid w:val="00DA490F"/>
    <w:rsid w:val="00DA4CFB"/>
    <w:rsid w:val="00DA594E"/>
    <w:rsid w:val="00DB0075"/>
    <w:rsid w:val="00DB0394"/>
    <w:rsid w:val="00DB1154"/>
    <w:rsid w:val="00DB40C6"/>
    <w:rsid w:val="00DB5FBB"/>
    <w:rsid w:val="00DB7C38"/>
    <w:rsid w:val="00DC1A10"/>
    <w:rsid w:val="00DC1B68"/>
    <w:rsid w:val="00DC26D3"/>
    <w:rsid w:val="00DC73DF"/>
    <w:rsid w:val="00DD4D5C"/>
    <w:rsid w:val="00DE496B"/>
    <w:rsid w:val="00DF395F"/>
    <w:rsid w:val="00E0152C"/>
    <w:rsid w:val="00E02F46"/>
    <w:rsid w:val="00E032B5"/>
    <w:rsid w:val="00E10C1A"/>
    <w:rsid w:val="00E12DBD"/>
    <w:rsid w:val="00E14D8A"/>
    <w:rsid w:val="00E16140"/>
    <w:rsid w:val="00E223C9"/>
    <w:rsid w:val="00E318CA"/>
    <w:rsid w:val="00E3731E"/>
    <w:rsid w:val="00E43A31"/>
    <w:rsid w:val="00E45654"/>
    <w:rsid w:val="00E45D0A"/>
    <w:rsid w:val="00E47D1D"/>
    <w:rsid w:val="00E5095E"/>
    <w:rsid w:val="00E5213D"/>
    <w:rsid w:val="00E52C40"/>
    <w:rsid w:val="00E53B57"/>
    <w:rsid w:val="00E54D7E"/>
    <w:rsid w:val="00E554B8"/>
    <w:rsid w:val="00E558ED"/>
    <w:rsid w:val="00E562E7"/>
    <w:rsid w:val="00E56B96"/>
    <w:rsid w:val="00E57F24"/>
    <w:rsid w:val="00E673D4"/>
    <w:rsid w:val="00E71424"/>
    <w:rsid w:val="00E76470"/>
    <w:rsid w:val="00E77865"/>
    <w:rsid w:val="00E803C0"/>
    <w:rsid w:val="00E832F3"/>
    <w:rsid w:val="00E83DB6"/>
    <w:rsid w:val="00E87CEF"/>
    <w:rsid w:val="00E90128"/>
    <w:rsid w:val="00E90998"/>
    <w:rsid w:val="00E93AD7"/>
    <w:rsid w:val="00E9695A"/>
    <w:rsid w:val="00E97D0F"/>
    <w:rsid w:val="00EA0A4E"/>
    <w:rsid w:val="00EA1EFA"/>
    <w:rsid w:val="00EA3D5D"/>
    <w:rsid w:val="00EA6607"/>
    <w:rsid w:val="00EB05DB"/>
    <w:rsid w:val="00EB0B7C"/>
    <w:rsid w:val="00EB42DB"/>
    <w:rsid w:val="00EC52D0"/>
    <w:rsid w:val="00EC7318"/>
    <w:rsid w:val="00ED51A1"/>
    <w:rsid w:val="00ED68C6"/>
    <w:rsid w:val="00EE0E0E"/>
    <w:rsid w:val="00EE16B7"/>
    <w:rsid w:val="00EE318C"/>
    <w:rsid w:val="00EE3904"/>
    <w:rsid w:val="00EE62FB"/>
    <w:rsid w:val="00EF065B"/>
    <w:rsid w:val="00EF28F0"/>
    <w:rsid w:val="00EF45AE"/>
    <w:rsid w:val="00EF67A4"/>
    <w:rsid w:val="00EF6A91"/>
    <w:rsid w:val="00F17ACD"/>
    <w:rsid w:val="00F232B0"/>
    <w:rsid w:val="00F2583C"/>
    <w:rsid w:val="00F264CD"/>
    <w:rsid w:val="00F27036"/>
    <w:rsid w:val="00F3241E"/>
    <w:rsid w:val="00F32E9C"/>
    <w:rsid w:val="00F37600"/>
    <w:rsid w:val="00F41209"/>
    <w:rsid w:val="00F44C3B"/>
    <w:rsid w:val="00F45094"/>
    <w:rsid w:val="00F467A8"/>
    <w:rsid w:val="00F51953"/>
    <w:rsid w:val="00F53D25"/>
    <w:rsid w:val="00F5650E"/>
    <w:rsid w:val="00F62F48"/>
    <w:rsid w:val="00F64D03"/>
    <w:rsid w:val="00F64FFA"/>
    <w:rsid w:val="00F66A71"/>
    <w:rsid w:val="00F7243E"/>
    <w:rsid w:val="00F7685C"/>
    <w:rsid w:val="00F801C5"/>
    <w:rsid w:val="00F817BE"/>
    <w:rsid w:val="00F84364"/>
    <w:rsid w:val="00F849EF"/>
    <w:rsid w:val="00F85501"/>
    <w:rsid w:val="00F8596D"/>
    <w:rsid w:val="00F92710"/>
    <w:rsid w:val="00F940E0"/>
    <w:rsid w:val="00F96E25"/>
    <w:rsid w:val="00FA28EB"/>
    <w:rsid w:val="00FA2D90"/>
    <w:rsid w:val="00FA6A2E"/>
    <w:rsid w:val="00FA7AB4"/>
    <w:rsid w:val="00FB25F5"/>
    <w:rsid w:val="00FB2795"/>
    <w:rsid w:val="00FB6AFB"/>
    <w:rsid w:val="00FC7770"/>
    <w:rsid w:val="00FD1269"/>
    <w:rsid w:val="00FD398D"/>
    <w:rsid w:val="00FD684A"/>
    <w:rsid w:val="00FD6CEC"/>
    <w:rsid w:val="00FE10A8"/>
    <w:rsid w:val="00FE195B"/>
    <w:rsid w:val="00FE2B4D"/>
    <w:rsid w:val="00FE5FAC"/>
    <w:rsid w:val="00FE61E8"/>
    <w:rsid w:val="00FE64D2"/>
    <w:rsid w:val="00FF2222"/>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14:docId w14:val="3BFCF92A"/>
  <w15:docId w15:val="{63213BEE-54EF-4CD1-B1F6-0CA41B25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452"/>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aliases w:val="Header Char Car,Header Char Car Car Car Car Car,Header Char Car Car Car Car, Car7,Car7"/>
    <w:basedOn w:val="Normal"/>
    <w:link w:val="EncabezadoCar"/>
    <w:unhideWhenUsed/>
    <w:rsid w:val="00AC09F0"/>
    <w:pPr>
      <w:tabs>
        <w:tab w:val="center" w:pos="4680"/>
        <w:tab w:val="right" w:pos="9360"/>
      </w:tabs>
    </w:pPr>
  </w:style>
  <w:style w:type="character" w:customStyle="1" w:styleId="EncabezadoCar">
    <w:name w:val="Encabezado Car"/>
    <w:aliases w:val="Header Char Car Car,Header Char Car Car Car Car Car Car,Header Char Car Car Car Car Car1, Car7 Car,Car7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5A7985"/>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02B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BBB"/>
    <w:rPr>
      <w:rFonts w:ascii="Segoe UI" w:hAnsi="Segoe UI" w:cs="Segoe UI"/>
      <w:sz w:val="18"/>
      <w:szCs w:val="18"/>
    </w:rPr>
  </w:style>
  <w:style w:type="paragraph" w:styleId="Sinespaciado">
    <w:name w:val="No Spacing"/>
    <w:uiPriority w:val="1"/>
    <w:qFormat/>
    <w:rsid w:val="009E008C"/>
  </w:style>
  <w:style w:type="paragraph" w:styleId="Textonotapie">
    <w:name w:val="footnote text"/>
    <w:basedOn w:val="Normal"/>
    <w:link w:val="TextonotapieCar"/>
    <w:uiPriority w:val="99"/>
    <w:semiHidden/>
    <w:unhideWhenUsed/>
    <w:rsid w:val="009E008C"/>
  </w:style>
  <w:style w:type="character" w:customStyle="1" w:styleId="TextonotapieCar">
    <w:name w:val="Texto nota pie Car"/>
    <w:basedOn w:val="Fuentedeprrafopredeter"/>
    <w:link w:val="Textonotapie"/>
    <w:uiPriority w:val="99"/>
    <w:semiHidden/>
    <w:rsid w:val="009E008C"/>
  </w:style>
  <w:style w:type="character" w:styleId="Refdenotaalpie">
    <w:name w:val="footnote reference"/>
    <w:uiPriority w:val="99"/>
    <w:unhideWhenUsed/>
    <w:rsid w:val="009E008C"/>
    <w:rPr>
      <w:vertAlign w:val="superscript"/>
    </w:rPr>
  </w:style>
  <w:style w:type="paragraph" w:customStyle="1" w:styleId="CharCharCarCarCarCarCarCarCarCar3CarCarCarCarCarCarCarCarCarCarCarCarCar">
    <w:name w:val="Char Char Car Car Car Car Car Car Car Car3 Car Car Car Car Car Car Car Car Car Car Car Car Car"/>
    <w:basedOn w:val="Normal"/>
    <w:rsid w:val="009E008C"/>
    <w:pPr>
      <w:spacing w:after="160" w:line="240" w:lineRule="exact"/>
    </w:pPr>
    <w:rPr>
      <w:rFonts w:ascii="Tahoma" w:hAnsi="Tahoma"/>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E008C"/>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E008C"/>
    <w:rPr>
      <w:rFonts w:ascii="Arial" w:hAnsi="Arial" w:cs="Arial"/>
      <w:sz w:val="24"/>
      <w:szCs w:val="24"/>
      <w:lang w:val="es-MX" w:eastAsia="ar-SA"/>
    </w:rPr>
  </w:style>
  <w:style w:type="numbering" w:customStyle="1" w:styleId="Sinlista1">
    <w:name w:val="Sin lista1"/>
    <w:next w:val="Sinlista"/>
    <w:uiPriority w:val="99"/>
    <w:semiHidden/>
    <w:unhideWhenUsed/>
    <w:rsid w:val="00553A55"/>
  </w:style>
  <w:style w:type="table" w:customStyle="1" w:styleId="Tablaconcuadrcula1">
    <w:name w:val="Tabla con cuadrícula1"/>
    <w:basedOn w:val="Tablanormal"/>
    <w:next w:val="Tablaconcuadrcula"/>
    <w:uiPriority w:val="59"/>
    <w:rsid w:val="00553A55"/>
    <w:rPr>
      <w:rFonts w:ascii="Calibri" w:eastAsia="Calibri" w:hAnsi="Calibri" w:cs="Aria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A55"/>
    <w:pPr>
      <w:autoSpaceDE w:val="0"/>
      <w:autoSpaceDN w:val="0"/>
      <w:adjustRightInd w:val="0"/>
    </w:pPr>
    <w:rPr>
      <w:rFonts w:ascii="Arial" w:eastAsia="Calibri" w:hAnsi="Arial" w:cs="Arial"/>
      <w:color w:val="000000"/>
      <w:sz w:val="24"/>
      <w:szCs w:val="24"/>
      <w:lang w:val="es-MX"/>
    </w:rPr>
  </w:style>
  <w:style w:type="paragraph" w:customStyle="1" w:styleId="ecxmsolistparagraph">
    <w:name w:val="ecxmsolistparagraph"/>
    <w:basedOn w:val="Normal"/>
    <w:rsid w:val="00553A55"/>
    <w:pPr>
      <w:spacing w:before="100" w:beforeAutospacing="1" w:after="100" w:afterAutospacing="1"/>
    </w:pPr>
    <w:rPr>
      <w:sz w:val="24"/>
      <w:szCs w:val="24"/>
      <w:lang w:val="es-MX" w:eastAsia="es-MX"/>
    </w:rPr>
  </w:style>
  <w:style w:type="paragraph" w:styleId="Textoindependiente">
    <w:name w:val="Body Text"/>
    <w:basedOn w:val="Normal"/>
    <w:link w:val="TextoindependienteCar"/>
    <w:uiPriority w:val="1"/>
    <w:qFormat/>
    <w:rsid w:val="00553A55"/>
    <w:pPr>
      <w:widowControl w:val="0"/>
      <w:autoSpaceDE w:val="0"/>
      <w:autoSpaceDN w:val="0"/>
      <w:adjustRightInd w:val="0"/>
      <w:spacing w:before="163"/>
      <w:ind w:left="102"/>
    </w:pPr>
    <w:rPr>
      <w:rFonts w:ascii="Arial Narrow" w:hAnsi="Arial Narrow" w:cs="Arial Narrow"/>
      <w:sz w:val="22"/>
      <w:szCs w:val="22"/>
      <w:lang w:val="es-MX" w:eastAsia="es-MX"/>
    </w:rPr>
  </w:style>
  <w:style w:type="character" w:customStyle="1" w:styleId="TextoindependienteCar">
    <w:name w:val="Texto independiente Car"/>
    <w:basedOn w:val="Fuentedeprrafopredeter"/>
    <w:link w:val="Textoindependiente"/>
    <w:uiPriority w:val="1"/>
    <w:rsid w:val="00553A55"/>
    <w:rPr>
      <w:rFonts w:ascii="Arial Narrow" w:hAnsi="Arial Narrow" w:cs="Arial Narrow"/>
      <w:sz w:val="22"/>
      <w:szCs w:val="22"/>
      <w:lang w:val="es-MX" w:eastAsia="es-MX"/>
    </w:rPr>
  </w:style>
  <w:style w:type="paragraph" w:customStyle="1" w:styleId="TableParagraph">
    <w:name w:val="Table Paragraph"/>
    <w:basedOn w:val="Normal"/>
    <w:uiPriority w:val="1"/>
    <w:qFormat/>
    <w:rsid w:val="00553A55"/>
    <w:pPr>
      <w:widowControl w:val="0"/>
      <w:autoSpaceDE w:val="0"/>
      <w:autoSpaceDN w:val="0"/>
      <w:adjustRightInd w:val="0"/>
    </w:pPr>
    <w:rPr>
      <w:sz w:val="24"/>
      <w:szCs w:val="24"/>
      <w:lang w:val="es-MX" w:eastAsia="es-MX"/>
    </w:rPr>
  </w:style>
  <w:style w:type="character" w:customStyle="1" w:styleId="estilo81">
    <w:name w:val="estilo81"/>
    <w:rsid w:val="00553A55"/>
    <w:rPr>
      <w:sz w:val="20"/>
      <w:szCs w:val="20"/>
    </w:rPr>
  </w:style>
  <w:style w:type="table" w:customStyle="1" w:styleId="TableNormal">
    <w:name w:val="Table Normal"/>
    <w:uiPriority w:val="2"/>
    <w:semiHidden/>
    <w:unhideWhenUsed/>
    <w:qFormat/>
    <w:rsid w:val="00553A55"/>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styleId="Ttulo">
    <w:name w:val="Title"/>
    <w:basedOn w:val="Normal"/>
    <w:link w:val="TtuloCar"/>
    <w:uiPriority w:val="10"/>
    <w:qFormat/>
    <w:rsid w:val="00553A55"/>
    <w:pPr>
      <w:widowControl w:val="0"/>
      <w:autoSpaceDE w:val="0"/>
      <w:autoSpaceDN w:val="0"/>
      <w:spacing w:before="606" w:line="1186" w:lineRule="exact"/>
      <w:ind w:right="87"/>
      <w:jc w:val="center"/>
    </w:pPr>
    <w:rPr>
      <w:rFonts w:ascii="Arial" w:eastAsia="Arial" w:hAnsi="Arial" w:cs="Arial"/>
      <w:b/>
      <w:bCs/>
      <w:sz w:val="108"/>
      <w:szCs w:val="108"/>
      <w:lang w:val="es-ES"/>
    </w:rPr>
  </w:style>
  <w:style w:type="character" w:customStyle="1" w:styleId="TtuloCar">
    <w:name w:val="Título Car"/>
    <w:basedOn w:val="Fuentedeprrafopredeter"/>
    <w:link w:val="Ttulo"/>
    <w:uiPriority w:val="10"/>
    <w:rsid w:val="00553A55"/>
    <w:rPr>
      <w:rFonts w:ascii="Arial" w:eastAsia="Arial" w:hAnsi="Arial" w:cs="Arial"/>
      <w:b/>
      <w:bCs/>
      <w:sz w:val="108"/>
      <w:szCs w:val="108"/>
      <w:lang w:val="es-ES"/>
    </w:rPr>
  </w:style>
  <w:style w:type="paragraph" w:styleId="Textocomentario">
    <w:name w:val="annotation text"/>
    <w:basedOn w:val="Normal"/>
    <w:link w:val="TextocomentarioCar"/>
    <w:uiPriority w:val="99"/>
    <w:semiHidden/>
    <w:unhideWhenUsed/>
    <w:rsid w:val="00553A55"/>
    <w:pPr>
      <w:widowControl w:val="0"/>
      <w:autoSpaceDE w:val="0"/>
      <w:autoSpaceDN w:val="0"/>
    </w:pPr>
    <w:rPr>
      <w:rFonts w:ascii="Arial" w:eastAsia="Arial" w:hAnsi="Arial" w:cs="Arial"/>
      <w:lang w:val="es-ES"/>
    </w:rPr>
  </w:style>
  <w:style w:type="character" w:customStyle="1" w:styleId="TextocomentarioCar">
    <w:name w:val="Texto comentario Car"/>
    <w:basedOn w:val="Fuentedeprrafopredeter"/>
    <w:link w:val="Textocomentario"/>
    <w:uiPriority w:val="99"/>
    <w:semiHidden/>
    <w:rsid w:val="00553A55"/>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3068">
      <w:bodyDiv w:val="1"/>
      <w:marLeft w:val="0"/>
      <w:marRight w:val="0"/>
      <w:marTop w:val="0"/>
      <w:marBottom w:val="0"/>
      <w:divBdr>
        <w:top w:val="none" w:sz="0" w:space="0" w:color="auto"/>
        <w:left w:val="none" w:sz="0" w:space="0" w:color="auto"/>
        <w:bottom w:val="none" w:sz="0" w:space="0" w:color="auto"/>
        <w:right w:val="none" w:sz="0" w:space="0" w:color="auto"/>
      </w:divBdr>
    </w:div>
    <w:div w:id="830758026">
      <w:bodyDiv w:val="1"/>
      <w:marLeft w:val="0"/>
      <w:marRight w:val="0"/>
      <w:marTop w:val="0"/>
      <w:marBottom w:val="0"/>
      <w:divBdr>
        <w:top w:val="none" w:sz="0" w:space="0" w:color="auto"/>
        <w:left w:val="none" w:sz="0" w:space="0" w:color="auto"/>
        <w:bottom w:val="none" w:sz="0" w:space="0" w:color="auto"/>
        <w:right w:val="none" w:sz="0" w:space="0" w:color="auto"/>
      </w:divBdr>
    </w:div>
    <w:div w:id="904334751">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 w:id="192683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A000-CAB7-447D-A9F6-DDA7E0C2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77</Pages>
  <Words>24090</Words>
  <Characters>132496</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Geovanni Gabriel Casanova Trujeque</cp:lastModifiedBy>
  <cp:revision>8</cp:revision>
  <cp:lastPrinted>2023-12-02T23:38:00Z</cp:lastPrinted>
  <dcterms:created xsi:type="dcterms:W3CDTF">2024-01-08T20:57:00Z</dcterms:created>
  <dcterms:modified xsi:type="dcterms:W3CDTF">2024-01-08T21:51:00Z</dcterms:modified>
</cp:coreProperties>
</file>